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2574"/>
        <w:gridCol w:w="283"/>
        <w:gridCol w:w="4141"/>
      </w:tblGrid>
      <w:tr w:rsidR="006E2905" w:rsidTr="006839F5">
        <w:trPr>
          <w:trHeight w:val="1376"/>
        </w:trPr>
        <w:tc>
          <w:tcPr>
            <w:tcW w:w="2093" w:type="dxa"/>
          </w:tcPr>
          <w:p w:rsidR="006E2905" w:rsidRDefault="006E2905" w:rsidP="006839F5">
            <w:pPr>
              <w:bidi w:val="0"/>
            </w:pPr>
            <w:r>
              <w:rPr>
                <w:noProof/>
              </w:rPr>
              <w:drawing>
                <wp:inline distT="0" distB="0" distL="0" distR="0" wp14:anchorId="61CD65B6" wp14:editId="1FC3EACF">
                  <wp:extent cx="555371" cy="844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289" cy="848453"/>
                          </a:xfrm>
                          <a:prstGeom prst="rect">
                            <a:avLst/>
                          </a:prstGeom>
                        </pic:spPr>
                      </pic:pic>
                    </a:graphicData>
                  </a:graphic>
                </wp:inline>
              </w:drawing>
            </w:r>
          </w:p>
        </w:tc>
        <w:tc>
          <w:tcPr>
            <w:tcW w:w="7869" w:type="dxa"/>
            <w:gridSpan w:val="3"/>
          </w:tcPr>
          <w:p w:rsidR="006E2905" w:rsidRPr="008037ED" w:rsidRDefault="006E2905" w:rsidP="006839F5">
            <w:pPr>
              <w:pStyle w:val="Header"/>
              <w:jc w:val="center"/>
              <w:rPr>
                <w:b/>
                <w:bCs/>
                <w:sz w:val="16"/>
                <w:szCs w:val="16"/>
                <w:rtl/>
              </w:rPr>
            </w:pPr>
          </w:p>
          <w:p w:rsidR="006E2905" w:rsidRPr="00622148" w:rsidRDefault="006E2905" w:rsidP="006839F5">
            <w:pPr>
              <w:pStyle w:val="Header"/>
              <w:jc w:val="center"/>
              <w:rPr>
                <w:b/>
                <w:bCs/>
                <w:sz w:val="48"/>
                <w:szCs w:val="48"/>
                <w:rtl/>
              </w:rPr>
            </w:pPr>
            <w:r w:rsidRPr="00622148">
              <w:rPr>
                <w:rFonts w:hint="cs"/>
                <w:b/>
                <w:bCs/>
                <w:sz w:val="48"/>
                <w:szCs w:val="48"/>
                <w:rtl/>
              </w:rPr>
              <w:t>הודעה לעיתונות</w:t>
            </w:r>
          </w:p>
          <w:p w:rsidR="006E2905" w:rsidRPr="00622148" w:rsidRDefault="006E2905" w:rsidP="006839F5">
            <w:pPr>
              <w:pStyle w:val="Header"/>
              <w:jc w:val="center"/>
              <w:rPr>
                <w:b/>
                <w:bCs/>
                <w:sz w:val="48"/>
                <w:szCs w:val="48"/>
                <w:rtl/>
              </w:rPr>
            </w:pPr>
            <w:r w:rsidRPr="00622148">
              <w:rPr>
                <w:b/>
                <w:bCs/>
                <w:sz w:val="48"/>
                <w:szCs w:val="48"/>
              </w:rPr>
              <w:t>PRESS INFORMATION</w:t>
            </w:r>
          </w:p>
        </w:tc>
      </w:tr>
      <w:tr w:rsidR="006E2905" w:rsidTr="006839F5">
        <w:trPr>
          <w:trHeight w:val="274"/>
        </w:trPr>
        <w:tc>
          <w:tcPr>
            <w:tcW w:w="5070" w:type="dxa"/>
            <w:gridSpan w:val="2"/>
          </w:tcPr>
          <w:p w:rsidR="006E2905" w:rsidRPr="00622148" w:rsidRDefault="006E2905" w:rsidP="006839F5">
            <w:pPr>
              <w:bidi w:val="0"/>
              <w:rPr>
                <w:sz w:val="28"/>
                <w:szCs w:val="28"/>
                <w:rtl/>
              </w:rPr>
            </w:pPr>
            <w:r w:rsidRPr="00622148">
              <w:rPr>
                <w:rFonts w:asciiTheme="majorBidi" w:eastAsiaTheme="majorEastAsia" w:hAnsiTheme="majorBidi" w:cstheme="majorBidi"/>
                <w:b/>
                <w:bCs/>
                <w:sz w:val="28"/>
                <w:szCs w:val="28"/>
              </w:rPr>
              <w:t>Simon Wiesenthal Center</w:t>
            </w:r>
            <w:r>
              <w:rPr>
                <w:rFonts w:asciiTheme="majorBidi" w:eastAsiaTheme="majorEastAsia" w:hAnsiTheme="majorBidi" w:cstheme="majorBidi"/>
                <w:b/>
                <w:bCs/>
                <w:sz w:val="28"/>
                <w:szCs w:val="28"/>
              </w:rPr>
              <w:t xml:space="preserve"> –</w:t>
            </w:r>
            <w:r w:rsidRPr="00622148">
              <w:rPr>
                <w:rFonts w:asciiTheme="majorBidi" w:eastAsiaTheme="majorEastAsia" w:hAnsiTheme="majorBidi" w:cstheme="majorBidi"/>
                <w:b/>
                <w:bCs/>
                <w:sz w:val="28"/>
                <w:szCs w:val="28"/>
              </w:rPr>
              <w:t xml:space="preserve"> Israel</w:t>
            </w:r>
            <w:r>
              <w:rPr>
                <w:sz w:val="28"/>
                <w:szCs w:val="28"/>
              </w:rPr>
              <w:t xml:space="preserve"> </w:t>
            </w:r>
            <w:r w:rsidRPr="004A0541">
              <w:rPr>
                <w:rFonts w:asciiTheme="majorBidi" w:eastAsiaTheme="majorEastAsia" w:hAnsiTheme="majorBidi" w:cstheme="majorBidi"/>
                <w:b/>
                <w:bCs/>
                <w:sz w:val="28"/>
                <w:szCs w:val="28"/>
              </w:rPr>
              <w:t>Office</w:t>
            </w:r>
          </w:p>
        </w:tc>
        <w:tc>
          <w:tcPr>
            <w:tcW w:w="283" w:type="dxa"/>
          </w:tcPr>
          <w:p w:rsidR="006E2905" w:rsidRDefault="006E2905" w:rsidP="006839F5">
            <w:pPr>
              <w:bidi w:val="0"/>
            </w:pPr>
          </w:p>
        </w:tc>
        <w:tc>
          <w:tcPr>
            <w:tcW w:w="4609" w:type="dxa"/>
          </w:tcPr>
          <w:p w:rsidR="006E2905" w:rsidRPr="00622148" w:rsidRDefault="006E2905" w:rsidP="006839F5">
            <w:pPr>
              <w:pStyle w:val="Heading1"/>
              <w:spacing w:before="0"/>
              <w:outlineLvl w:val="0"/>
              <w:rPr>
                <w:rFonts w:asciiTheme="majorBidi" w:hAnsiTheme="majorBidi"/>
                <w:color w:val="auto"/>
                <w:sz w:val="32"/>
                <w:szCs w:val="32"/>
                <w:rtl/>
              </w:rPr>
            </w:pPr>
            <w:r w:rsidRPr="00622148">
              <w:rPr>
                <w:rFonts w:asciiTheme="majorBidi" w:hAnsiTheme="majorBidi"/>
                <w:color w:val="auto"/>
                <w:sz w:val="32"/>
                <w:szCs w:val="32"/>
                <w:rtl/>
              </w:rPr>
              <w:t>מרכז שמעון ויזנטל</w:t>
            </w:r>
            <w:r>
              <w:rPr>
                <w:rFonts w:asciiTheme="majorBidi" w:hAnsiTheme="majorBidi" w:hint="cs"/>
                <w:color w:val="auto"/>
                <w:sz w:val="32"/>
                <w:szCs w:val="32"/>
                <w:rtl/>
              </w:rPr>
              <w:t xml:space="preserve"> - המשרד בישראל</w:t>
            </w:r>
          </w:p>
        </w:tc>
      </w:tr>
      <w:tr w:rsidR="006E2905" w:rsidRPr="004775F5" w:rsidTr="006839F5">
        <w:tc>
          <w:tcPr>
            <w:tcW w:w="5070" w:type="dxa"/>
            <w:gridSpan w:val="2"/>
          </w:tcPr>
          <w:p w:rsidR="006E2905" w:rsidRPr="00622148" w:rsidRDefault="006E2905" w:rsidP="006839F5">
            <w:pPr>
              <w:pStyle w:val="Subtitle"/>
              <w:bidi w:val="0"/>
              <w:rPr>
                <w:b/>
                <w:bCs/>
                <w:i w:val="0"/>
                <w:iCs w:val="0"/>
                <w:color w:val="auto"/>
                <w:sz w:val="20"/>
                <w:szCs w:val="20"/>
              </w:rPr>
            </w:pPr>
            <w:r w:rsidRPr="00622148">
              <w:rPr>
                <w:b/>
                <w:bCs/>
                <w:i w:val="0"/>
                <w:iCs w:val="0"/>
                <w:color w:val="auto"/>
                <w:sz w:val="20"/>
                <w:szCs w:val="20"/>
              </w:rPr>
              <w:t>Snider Social Action Institute</w:t>
            </w:r>
          </w:p>
        </w:tc>
        <w:tc>
          <w:tcPr>
            <w:tcW w:w="283" w:type="dxa"/>
          </w:tcPr>
          <w:p w:rsidR="006E2905" w:rsidRPr="004775F5" w:rsidRDefault="006E2905" w:rsidP="006839F5">
            <w:pPr>
              <w:bidi w:val="0"/>
              <w:rPr>
                <w:b/>
                <w:bCs/>
              </w:rPr>
            </w:pPr>
          </w:p>
        </w:tc>
        <w:tc>
          <w:tcPr>
            <w:tcW w:w="4609" w:type="dxa"/>
          </w:tcPr>
          <w:p w:rsidR="006E2905" w:rsidRPr="00622148" w:rsidRDefault="006E2905" w:rsidP="006839F5">
            <w:pPr>
              <w:pStyle w:val="Subtitle"/>
              <w:bidi w:val="0"/>
              <w:jc w:val="right"/>
              <w:rPr>
                <w:b/>
                <w:bCs/>
                <w:i w:val="0"/>
                <w:iCs w:val="0"/>
                <w:color w:val="auto"/>
                <w:sz w:val="22"/>
                <w:szCs w:val="22"/>
              </w:rPr>
            </w:pPr>
            <w:r w:rsidRPr="00622148">
              <w:rPr>
                <w:rFonts w:hint="cs"/>
                <w:b/>
                <w:bCs/>
                <w:i w:val="0"/>
                <w:iCs w:val="0"/>
                <w:color w:val="auto"/>
                <w:sz w:val="22"/>
                <w:szCs w:val="22"/>
                <w:rtl/>
              </w:rPr>
              <w:t>מכון סניידר למע</w:t>
            </w:r>
            <w:r>
              <w:rPr>
                <w:rFonts w:hint="cs"/>
                <w:b/>
                <w:bCs/>
                <w:i w:val="0"/>
                <w:iCs w:val="0"/>
                <w:color w:val="auto"/>
                <w:sz w:val="22"/>
                <w:szCs w:val="22"/>
                <w:rtl/>
              </w:rPr>
              <w:t>ור</w:t>
            </w:r>
            <w:r w:rsidRPr="00622148">
              <w:rPr>
                <w:rFonts w:hint="cs"/>
                <w:b/>
                <w:bCs/>
                <w:i w:val="0"/>
                <w:iCs w:val="0"/>
                <w:color w:val="auto"/>
                <w:sz w:val="22"/>
                <w:szCs w:val="22"/>
                <w:rtl/>
              </w:rPr>
              <w:t>בות ציבורית</w:t>
            </w:r>
          </w:p>
        </w:tc>
      </w:tr>
      <w:tr w:rsidR="006E2905" w:rsidRPr="004775F5" w:rsidTr="006839F5">
        <w:tc>
          <w:tcPr>
            <w:tcW w:w="5070" w:type="dxa"/>
            <w:gridSpan w:val="2"/>
          </w:tcPr>
          <w:p w:rsidR="006E2905" w:rsidRPr="00622148" w:rsidRDefault="006E2905" w:rsidP="006839F5">
            <w:pPr>
              <w:bidi w:val="0"/>
              <w:rPr>
                <w:sz w:val="20"/>
                <w:szCs w:val="20"/>
              </w:rPr>
            </w:pPr>
            <w:r w:rsidRPr="00622148">
              <w:rPr>
                <w:sz w:val="20"/>
                <w:szCs w:val="20"/>
              </w:rPr>
              <w:t xml:space="preserve">Israel Office: 1 </w:t>
            </w:r>
            <w:proofErr w:type="spellStart"/>
            <w:r w:rsidRPr="00622148">
              <w:rPr>
                <w:sz w:val="20"/>
                <w:szCs w:val="20"/>
              </w:rPr>
              <w:t>Mendele</w:t>
            </w:r>
            <w:proofErr w:type="spellEnd"/>
            <w:r w:rsidRPr="00622148">
              <w:rPr>
                <w:sz w:val="20"/>
                <w:szCs w:val="20"/>
              </w:rPr>
              <w:t xml:space="preserve"> St., Jerusalem 92147</w:t>
            </w:r>
          </w:p>
        </w:tc>
        <w:tc>
          <w:tcPr>
            <w:tcW w:w="283" w:type="dxa"/>
          </w:tcPr>
          <w:p w:rsidR="006E2905" w:rsidRPr="004775F5" w:rsidRDefault="006E2905" w:rsidP="006839F5">
            <w:pPr>
              <w:bidi w:val="0"/>
              <w:rPr>
                <w:b/>
                <w:bCs/>
              </w:rPr>
            </w:pPr>
          </w:p>
        </w:tc>
        <w:tc>
          <w:tcPr>
            <w:tcW w:w="4609" w:type="dxa"/>
          </w:tcPr>
          <w:p w:rsidR="006E2905" w:rsidRPr="00622148" w:rsidRDefault="006E2905" w:rsidP="006839F5">
            <w:pPr>
              <w:pStyle w:val="Subtitle"/>
              <w:bidi w:val="0"/>
              <w:jc w:val="right"/>
              <w:rPr>
                <w:i w:val="0"/>
                <w:iCs w:val="0"/>
                <w:color w:val="auto"/>
                <w:sz w:val="22"/>
                <w:szCs w:val="22"/>
              </w:rPr>
            </w:pPr>
            <w:r w:rsidRPr="00622148">
              <w:rPr>
                <w:rFonts w:hint="cs"/>
                <w:i w:val="0"/>
                <w:iCs w:val="0"/>
                <w:color w:val="auto"/>
                <w:sz w:val="22"/>
                <w:szCs w:val="22"/>
                <w:rtl/>
              </w:rPr>
              <w:t>המשרד בישראל: רח' מנדלי 1 ירושלים 92147</w:t>
            </w:r>
          </w:p>
        </w:tc>
      </w:tr>
      <w:tr w:rsidR="006E2905" w:rsidRPr="00622148" w:rsidTr="006839F5">
        <w:tc>
          <w:tcPr>
            <w:tcW w:w="9962" w:type="dxa"/>
            <w:gridSpan w:val="4"/>
            <w:tcBorders>
              <w:bottom w:val="single" w:sz="4" w:space="0" w:color="auto"/>
            </w:tcBorders>
          </w:tcPr>
          <w:p w:rsidR="006E2905" w:rsidRDefault="006E2905" w:rsidP="006839F5">
            <w:pPr>
              <w:jc w:val="center"/>
              <w:rPr>
                <w:sz w:val="20"/>
                <w:szCs w:val="20"/>
              </w:rPr>
            </w:pPr>
            <w:r w:rsidRPr="00622148">
              <w:rPr>
                <w:sz w:val="20"/>
                <w:szCs w:val="20"/>
              </w:rPr>
              <w:t>Tel: (02)563</w:t>
            </w:r>
            <w:r>
              <w:rPr>
                <w:sz w:val="20"/>
                <w:szCs w:val="20"/>
              </w:rPr>
              <w:t>-</w:t>
            </w:r>
            <w:r w:rsidRPr="00622148">
              <w:rPr>
                <w:sz w:val="20"/>
                <w:szCs w:val="20"/>
              </w:rPr>
              <w:t>1273/4 or 050</w:t>
            </w:r>
            <w:r>
              <w:rPr>
                <w:sz w:val="20"/>
                <w:szCs w:val="20"/>
              </w:rPr>
              <w:t>-</w:t>
            </w:r>
            <w:r w:rsidRPr="00622148">
              <w:rPr>
                <w:sz w:val="20"/>
                <w:szCs w:val="20"/>
              </w:rPr>
              <w:t>721</w:t>
            </w:r>
            <w:r>
              <w:rPr>
                <w:sz w:val="20"/>
                <w:szCs w:val="20"/>
              </w:rPr>
              <w:t>-</w:t>
            </w:r>
            <w:r w:rsidRPr="00622148">
              <w:rPr>
                <w:sz w:val="20"/>
                <w:szCs w:val="20"/>
              </w:rPr>
              <w:t>4156 Fax: (02)563</w:t>
            </w:r>
            <w:r>
              <w:rPr>
                <w:sz w:val="20"/>
                <w:szCs w:val="20"/>
              </w:rPr>
              <w:t>-</w:t>
            </w:r>
            <w:r w:rsidRPr="00622148">
              <w:rPr>
                <w:sz w:val="20"/>
                <w:szCs w:val="20"/>
              </w:rPr>
              <w:t>1276</w:t>
            </w:r>
            <w:r>
              <w:rPr>
                <w:sz w:val="20"/>
                <w:szCs w:val="20"/>
              </w:rPr>
              <w:t xml:space="preserve"> </w:t>
            </w:r>
          </w:p>
          <w:p w:rsidR="006E2905" w:rsidRPr="00622148" w:rsidRDefault="006E2905" w:rsidP="006839F5">
            <w:pPr>
              <w:jc w:val="center"/>
              <w:rPr>
                <w:sz w:val="20"/>
                <w:szCs w:val="20"/>
                <w:rtl/>
              </w:rPr>
            </w:pPr>
            <w:r>
              <w:rPr>
                <w:sz w:val="20"/>
                <w:szCs w:val="20"/>
              </w:rPr>
              <w:t>website</w:t>
            </w:r>
            <w:r w:rsidRPr="004A0541">
              <w:rPr>
                <w:color w:val="000000" w:themeColor="text1"/>
                <w:sz w:val="20"/>
                <w:szCs w:val="20"/>
              </w:rPr>
              <w:t xml:space="preserve">: </w:t>
            </w:r>
            <w:hyperlink r:id="rId8" w:history="1">
              <w:r w:rsidRPr="004A0541">
                <w:rPr>
                  <w:rStyle w:val="Hyperlink"/>
                  <w:color w:val="000000" w:themeColor="text1"/>
                  <w:sz w:val="20"/>
                  <w:szCs w:val="20"/>
                </w:rPr>
                <w:t>www.operationlastchance.org</w:t>
              </w:r>
            </w:hyperlink>
            <w:r w:rsidRPr="004A0541">
              <w:rPr>
                <w:color w:val="000000" w:themeColor="text1"/>
                <w:sz w:val="20"/>
                <w:szCs w:val="20"/>
              </w:rPr>
              <w:t xml:space="preserve"> </w:t>
            </w:r>
            <w:r w:rsidRPr="00622148">
              <w:rPr>
                <w:sz w:val="20"/>
                <w:szCs w:val="20"/>
              </w:rPr>
              <w:t xml:space="preserve"> E-mail: </w:t>
            </w:r>
            <w:hyperlink r:id="rId9" w:history="1">
              <w:r w:rsidRPr="00622148">
                <w:rPr>
                  <w:rStyle w:val="Hyperlink"/>
                  <w:sz w:val="20"/>
                  <w:szCs w:val="20"/>
                </w:rPr>
                <w:t>swcjerus@netvision.net.il</w:t>
              </w:r>
            </w:hyperlink>
          </w:p>
        </w:tc>
      </w:tr>
    </w:tbl>
    <w:p w:rsidR="006E2905" w:rsidRDefault="006E2905" w:rsidP="006E2905">
      <w:pPr>
        <w:bidi w:val="0"/>
        <w:spacing w:after="0"/>
        <w:jc w:val="right"/>
        <w:rPr>
          <w:rFonts w:asciiTheme="majorBidi" w:hAnsiTheme="majorBidi" w:cstheme="majorBidi"/>
          <w:sz w:val="20"/>
          <w:szCs w:val="20"/>
        </w:rPr>
      </w:pPr>
    </w:p>
    <w:p w:rsidR="006E2905" w:rsidRDefault="006E2905" w:rsidP="006E2905">
      <w:pPr>
        <w:bidi w:val="0"/>
        <w:spacing w:after="0"/>
        <w:jc w:val="right"/>
        <w:rPr>
          <w:rFonts w:asciiTheme="majorBidi" w:hAnsiTheme="majorBidi" w:cstheme="majorBidi"/>
          <w:sz w:val="20"/>
          <w:szCs w:val="20"/>
        </w:rPr>
      </w:pPr>
      <w:r w:rsidRPr="00963843">
        <w:rPr>
          <w:rFonts w:asciiTheme="majorBidi" w:hAnsiTheme="majorBidi" w:cstheme="majorBidi"/>
          <w:sz w:val="20"/>
          <w:szCs w:val="20"/>
        </w:rPr>
        <w:t>3</w:t>
      </w:r>
      <w:r>
        <w:rPr>
          <w:rFonts w:asciiTheme="majorBidi" w:hAnsiTheme="majorBidi" w:cstheme="majorBidi" w:hint="cs"/>
          <w:sz w:val="20"/>
          <w:szCs w:val="20"/>
          <w:rtl/>
        </w:rPr>
        <w:t>3</w:t>
      </w:r>
      <w:r w:rsidRPr="00963843">
        <w:rPr>
          <w:rFonts w:asciiTheme="majorBidi" w:hAnsiTheme="majorBidi" w:cstheme="majorBidi"/>
          <w:sz w:val="20"/>
          <w:szCs w:val="20"/>
        </w:rPr>
        <w:t>-14</w:t>
      </w:r>
    </w:p>
    <w:p w:rsidR="001B45DE" w:rsidRDefault="001B45DE" w:rsidP="001B45DE">
      <w:pPr>
        <w:bidi w:val="0"/>
        <w:spacing w:after="0"/>
        <w:jc w:val="right"/>
        <w:rPr>
          <w:rFonts w:asciiTheme="majorBidi" w:hAnsiTheme="majorBidi" w:cstheme="majorBidi"/>
          <w:sz w:val="20"/>
          <w:szCs w:val="20"/>
        </w:rPr>
      </w:pPr>
    </w:p>
    <w:p w:rsidR="001B45DE" w:rsidRDefault="001B45DE" w:rsidP="002779AD">
      <w:pPr>
        <w:spacing w:line="360" w:lineRule="auto"/>
        <w:ind w:left="6326" w:right="-1080"/>
        <w:rPr>
          <w:rFonts w:cs="David"/>
        </w:rPr>
      </w:pPr>
      <w:r>
        <w:rPr>
          <w:rFonts w:cs="David"/>
          <w:rtl/>
        </w:rPr>
        <w:t>כ"</w:t>
      </w:r>
      <w:r>
        <w:rPr>
          <w:rFonts w:cs="David" w:hint="cs"/>
          <w:rtl/>
        </w:rPr>
        <w:t>ד</w:t>
      </w:r>
      <w:r>
        <w:rPr>
          <w:rFonts w:cs="David"/>
          <w:rtl/>
        </w:rPr>
        <w:t xml:space="preserve"> ניסן תשע''</w:t>
      </w:r>
      <w:r>
        <w:rPr>
          <w:rFonts w:cs="David" w:hint="cs"/>
          <w:rtl/>
        </w:rPr>
        <w:t>ד</w:t>
      </w:r>
      <w:r>
        <w:rPr>
          <w:rFonts w:cs="David"/>
          <w:rtl/>
        </w:rPr>
        <w:t>//</w:t>
      </w:r>
      <w:r w:rsidR="002779AD">
        <w:rPr>
          <w:rFonts w:cs="David"/>
        </w:rPr>
        <w:t>27</w:t>
      </w:r>
      <w:r>
        <w:rPr>
          <w:rFonts w:cs="David"/>
          <w:rtl/>
        </w:rPr>
        <w:t xml:space="preserve"> באפריל </w:t>
      </w:r>
      <w:r>
        <w:rPr>
          <w:rFonts w:cs="David" w:hint="cs"/>
          <w:rtl/>
        </w:rPr>
        <w:t>2014</w:t>
      </w:r>
      <w:r>
        <w:rPr>
          <w:rFonts w:cs="David"/>
          <w:rtl/>
        </w:rPr>
        <w:t xml:space="preserve"> </w:t>
      </w:r>
      <w:r>
        <w:rPr>
          <w:rtl/>
        </w:rPr>
        <w:t xml:space="preserve"> </w:t>
      </w:r>
    </w:p>
    <w:p w:rsidR="001B45DE" w:rsidRDefault="001B45DE" w:rsidP="001B45DE">
      <w:pPr>
        <w:bidi w:val="0"/>
        <w:spacing w:after="0"/>
        <w:jc w:val="center"/>
        <w:rPr>
          <w:rFonts w:cs="David"/>
          <w:b/>
          <w:bCs/>
          <w:sz w:val="32"/>
          <w:szCs w:val="32"/>
          <w:u w:val="single"/>
          <w:rtl/>
        </w:rPr>
      </w:pPr>
      <w:r>
        <w:rPr>
          <w:rFonts w:cs="David"/>
          <w:b/>
          <w:bCs/>
          <w:sz w:val="32"/>
          <w:szCs w:val="32"/>
          <w:u w:val="single"/>
          <w:rtl/>
        </w:rPr>
        <w:t>הדו"ח השנתי של מרכז שמעון ויזנטל מצביע על הישגים חשובים</w:t>
      </w:r>
      <w:r>
        <w:rPr>
          <w:rFonts w:cs="David" w:hint="cs"/>
          <w:b/>
          <w:bCs/>
          <w:sz w:val="32"/>
          <w:szCs w:val="32"/>
          <w:u w:val="single"/>
          <w:rtl/>
        </w:rPr>
        <w:t xml:space="preserve"> שהושגו בגרמניה השנה במרדף אחר פושעי מלחמה נאצים</w:t>
      </w:r>
    </w:p>
    <w:p w:rsidR="001B45DE" w:rsidRDefault="001B45DE" w:rsidP="001B45DE">
      <w:pPr>
        <w:spacing w:after="0"/>
        <w:rPr>
          <w:rFonts w:cs="David"/>
          <w:b/>
          <w:bCs/>
          <w:sz w:val="32"/>
          <w:szCs w:val="32"/>
          <w:u w:val="single"/>
          <w:rtl/>
        </w:rPr>
      </w:pPr>
    </w:p>
    <w:p w:rsidR="001B45DE" w:rsidRPr="00AF1F51" w:rsidRDefault="001B45DE" w:rsidP="00A07FBE">
      <w:pPr>
        <w:spacing w:line="360" w:lineRule="auto"/>
        <w:ind w:left="-199" w:right="-142"/>
        <w:rPr>
          <w:rFonts w:cs="David"/>
          <w:sz w:val="24"/>
          <w:szCs w:val="24"/>
          <w:rtl/>
        </w:rPr>
      </w:pPr>
      <w:r w:rsidRPr="00AF1F51">
        <w:rPr>
          <w:rFonts w:cs="David"/>
          <w:sz w:val="24"/>
          <w:szCs w:val="24"/>
          <w:rtl/>
        </w:rPr>
        <w:t xml:space="preserve">ירושלים - מרכז שמעון ויזנטל חושף היום את ממצאיו העיקריים של הדו"ח  השנתי </w:t>
      </w:r>
      <w:r w:rsidRPr="00AF1F51">
        <w:rPr>
          <w:rFonts w:cs="David" w:hint="cs"/>
          <w:sz w:val="24"/>
          <w:szCs w:val="24"/>
          <w:rtl/>
        </w:rPr>
        <w:t>השלוש עשרה</w:t>
      </w:r>
      <w:r w:rsidRPr="00AF1F51">
        <w:rPr>
          <w:rFonts w:cs="David"/>
          <w:sz w:val="24"/>
          <w:szCs w:val="24"/>
          <w:rtl/>
        </w:rPr>
        <w:t xml:space="preserve"> על מצב החקירות וההעמדה לדין של פושעי מלחמה נאצים ברחבי העולם, המתייחס לתקופה שבין 1 באפריל 201</w:t>
      </w:r>
      <w:r w:rsidRPr="00AF1F51">
        <w:rPr>
          <w:rFonts w:cs="David" w:hint="cs"/>
          <w:sz w:val="24"/>
          <w:szCs w:val="24"/>
          <w:rtl/>
        </w:rPr>
        <w:t>3</w:t>
      </w:r>
      <w:r w:rsidRPr="00AF1F51">
        <w:rPr>
          <w:rFonts w:cs="David"/>
          <w:sz w:val="24"/>
          <w:szCs w:val="24"/>
          <w:rtl/>
        </w:rPr>
        <w:t xml:space="preserve"> ל-31 במרץ 201</w:t>
      </w:r>
      <w:r w:rsidRPr="00AF1F51">
        <w:rPr>
          <w:rFonts w:cs="David" w:hint="cs"/>
          <w:sz w:val="24"/>
          <w:szCs w:val="24"/>
          <w:rtl/>
        </w:rPr>
        <w:t>4</w:t>
      </w:r>
      <w:r w:rsidRPr="00AF1F51">
        <w:rPr>
          <w:rFonts w:cs="David"/>
          <w:sz w:val="24"/>
          <w:szCs w:val="24"/>
          <w:rtl/>
        </w:rPr>
        <w:t xml:space="preserve"> ומעניק ציונים הנעים בין </w:t>
      </w:r>
      <w:r w:rsidRPr="00AF1F51">
        <w:rPr>
          <w:rFonts w:cs="David"/>
          <w:sz w:val="24"/>
          <w:szCs w:val="24"/>
        </w:rPr>
        <w:t>A</w:t>
      </w:r>
      <w:r w:rsidRPr="00AF1F51">
        <w:rPr>
          <w:rFonts w:cs="David"/>
          <w:sz w:val="24"/>
          <w:szCs w:val="24"/>
          <w:rtl/>
        </w:rPr>
        <w:t xml:space="preserve"> (הגבוה ביותר) ל-</w:t>
      </w:r>
      <w:r w:rsidRPr="00AF1F51">
        <w:rPr>
          <w:rFonts w:cs="David"/>
          <w:sz w:val="24"/>
          <w:szCs w:val="24"/>
        </w:rPr>
        <w:t>F</w:t>
      </w:r>
      <w:r w:rsidRPr="00AF1F51">
        <w:rPr>
          <w:rFonts w:cs="David"/>
          <w:sz w:val="24"/>
          <w:szCs w:val="24"/>
          <w:rtl/>
        </w:rPr>
        <w:t xml:space="preserve"> שמבטאים את המאמצים והתוצאות שהושגו על ידי למעלה משלושים מדינות בהן בוצעו פשעים נאצים או שהתירו את כניסתם פושעים כאלה לאחר מלחמת העולם השנייה. </w:t>
      </w:r>
    </w:p>
    <w:p w:rsidR="001B45DE" w:rsidRPr="00AF1F51" w:rsidRDefault="001B45DE" w:rsidP="001B45DE">
      <w:pPr>
        <w:spacing w:line="360" w:lineRule="auto"/>
        <w:ind w:left="-199" w:right="-1080"/>
        <w:rPr>
          <w:rFonts w:cs="David"/>
          <w:sz w:val="24"/>
          <w:szCs w:val="24"/>
          <w:rtl/>
        </w:rPr>
      </w:pPr>
      <w:r w:rsidRPr="00AF1F51">
        <w:rPr>
          <w:rFonts w:cs="David"/>
          <w:sz w:val="24"/>
          <w:szCs w:val="24"/>
          <w:rtl/>
        </w:rPr>
        <w:t> הדו"ח מצביע על ההתפתחויות החשובות הבאות:</w:t>
      </w:r>
    </w:p>
    <w:p w:rsidR="001B45DE" w:rsidRPr="00AF1F51" w:rsidRDefault="001B45DE" w:rsidP="00415085">
      <w:pPr>
        <w:spacing w:line="360" w:lineRule="auto"/>
        <w:ind w:left="-199"/>
        <w:rPr>
          <w:rFonts w:cs="David"/>
          <w:sz w:val="24"/>
          <w:szCs w:val="24"/>
          <w:rtl/>
        </w:rPr>
      </w:pPr>
      <w:r w:rsidRPr="00AF1F51">
        <w:rPr>
          <w:rFonts w:cs="David" w:hint="cs"/>
          <w:sz w:val="24"/>
          <w:szCs w:val="24"/>
          <w:rtl/>
        </w:rPr>
        <w:t>1. התוצאות החיוביות החשובות ביותר שהושגו בתקופה הנידונה היו בגרמניה בעקבות החלטת</w:t>
      </w:r>
      <w:r w:rsidR="00A07FBE">
        <w:rPr>
          <w:rFonts w:cs="David" w:hint="cs"/>
          <w:sz w:val="24"/>
          <w:szCs w:val="24"/>
          <w:rtl/>
        </w:rPr>
        <w:t>ם</w:t>
      </w:r>
      <w:r w:rsidRPr="00AF1F51">
        <w:rPr>
          <w:rFonts w:cs="David" w:hint="cs"/>
          <w:sz w:val="24"/>
          <w:szCs w:val="24"/>
          <w:rtl/>
        </w:rPr>
        <w:t xml:space="preserve"> של אנשי התב</w:t>
      </w:r>
      <w:r w:rsidR="00A07FBE">
        <w:rPr>
          <w:rFonts w:cs="David" w:hint="cs"/>
          <w:sz w:val="24"/>
          <w:szCs w:val="24"/>
          <w:rtl/>
        </w:rPr>
        <w:t>י</w:t>
      </w:r>
      <w:r w:rsidRPr="00AF1F51">
        <w:rPr>
          <w:rFonts w:cs="David" w:hint="cs"/>
          <w:sz w:val="24"/>
          <w:szCs w:val="24"/>
          <w:rtl/>
        </w:rPr>
        <w:t>עה על מדיניות חדשה שמאפשרת את הרשעתם בדין של כמעט כל מי ששירת במחנות המוות או בעוצ</w:t>
      </w:r>
      <w:r w:rsidR="00415085">
        <w:rPr>
          <w:rFonts w:cs="David" w:hint="cs"/>
          <w:sz w:val="24"/>
          <w:szCs w:val="24"/>
          <w:rtl/>
        </w:rPr>
        <w:t>ב</w:t>
      </w:r>
      <w:r w:rsidRPr="00AF1F51">
        <w:rPr>
          <w:rFonts w:cs="David" w:hint="cs"/>
          <w:sz w:val="24"/>
          <w:szCs w:val="24"/>
          <w:rtl/>
        </w:rPr>
        <w:t xml:space="preserve">ות המבצע (איינזצגרופין). השנוי יושם לראשונה מזה חמישים שנה בגרמניה במשפטו של איוון דמיניוק שהורשע במאי 2011 בגין שירותו כזקיף ס.ס. חמוש במחנה המוות סוביבור, ובעקבותיו החל מצוד נרחב אחרי כל מי ששירת ביחידות </w:t>
      </w:r>
      <w:r w:rsidR="00AF1F51" w:rsidRPr="00AF1F51">
        <w:rPr>
          <w:rFonts w:cs="David" w:hint="cs"/>
          <w:sz w:val="24"/>
          <w:szCs w:val="24"/>
          <w:rtl/>
        </w:rPr>
        <w:t>אלה. בספטמבר 2013, הכריז עו"ד קורט שרים, מנהל המשרד הגרמני המרכזי לחקירת פשעי הנאצים ששלטונ</w:t>
      </w:r>
      <w:r w:rsidR="00A07FBE">
        <w:rPr>
          <w:rFonts w:cs="David" w:hint="cs"/>
          <w:sz w:val="24"/>
          <w:szCs w:val="24"/>
          <w:rtl/>
        </w:rPr>
        <w:t>ות</w:t>
      </w:r>
      <w:r w:rsidR="00AF1F51" w:rsidRPr="00AF1F51">
        <w:rPr>
          <w:rFonts w:cs="David" w:hint="cs"/>
          <w:sz w:val="24"/>
          <w:szCs w:val="24"/>
          <w:rtl/>
        </w:rPr>
        <w:t xml:space="preserve"> גרמניה כבר הצליחו לאתר 37 אנשים ששירתו במחנה המוות אושוויץ-בירקנאו (מביניהם 30 החיים כיום בגרמניה) והם ממליצים להעמידם לדין. בתקופה הנידונה בדו"ח </w:t>
      </w:r>
      <w:r w:rsidR="00C84ADF">
        <w:rPr>
          <w:rFonts w:cs="David" w:hint="cs"/>
          <w:sz w:val="24"/>
          <w:szCs w:val="24"/>
          <w:rtl/>
        </w:rPr>
        <w:t>ה</w:t>
      </w:r>
      <w:r w:rsidR="00AF1F51" w:rsidRPr="00AF1F51">
        <w:rPr>
          <w:rFonts w:cs="David" w:hint="cs"/>
          <w:sz w:val="24"/>
          <w:szCs w:val="24"/>
          <w:rtl/>
        </w:rPr>
        <w:t xml:space="preserve">חקירות במקרים אלה הועברו לידי </w:t>
      </w:r>
      <w:r w:rsidR="00C84ADF">
        <w:rPr>
          <w:rFonts w:cs="David" w:hint="cs"/>
          <w:sz w:val="24"/>
          <w:szCs w:val="24"/>
          <w:rtl/>
        </w:rPr>
        <w:t>ה</w:t>
      </w:r>
      <w:r w:rsidR="00AF1F51" w:rsidRPr="00AF1F51">
        <w:rPr>
          <w:rFonts w:cs="David" w:hint="cs"/>
          <w:sz w:val="24"/>
          <w:szCs w:val="24"/>
          <w:rtl/>
        </w:rPr>
        <w:t>תביעה במקום מגור</w:t>
      </w:r>
      <w:r w:rsidR="00C84ADF">
        <w:rPr>
          <w:rFonts w:cs="David" w:hint="cs"/>
          <w:sz w:val="24"/>
          <w:szCs w:val="24"/>
          <w:rtl/>
        </w:rPr>
        <w:t>יה</w:t>
      </w:r>
      <w:r w:rsidR="00AF1F51" w:rsidRPr="00AF1F51">
        <w:rPr>
          <w:rFonts w:cs="David" w:hint="cs"/>
          <w:sz w:val="24"/>
          <w:szCs w:val="24"/>
          <w:rtl/>
        </w:rPr>
        <w:t>ם של החשודים וננקטו צעדים משפטיים ראשונים ב</w:t>
      </w:r>
      <w:r w:rsidR="00A07FBE">
        <w:rPr>
          <w:rFonts w:cs="David" w:hint="cs"/>
          <w:sz w:val="24"/>
          <w:szCs w:val="24"/>
          <w:rtl/>
        </w:rPr>
        <w:t>כ</w:t>
      </w:r>
      <w:r w:rsidR="00AF1F51" w:rsidRPr="00AF1F51">
        <w:rPr>
          <w:rFonts w:cs="David" w:hint="cs"/>
          <w:sz w:val="24"/>
          <w:szCs w:val="24"/>
          <w:rtl/>
        </w:rPr>
        <w:t>תריסר מקרים.</w:t>
      </w:r>
    </w:p>
    <w:p w:rsidR="00AF1F51" w:rsidRPr="00AF1F51" w:rsidRDefault="00AF1F51" w:rsidP="00C84ADF">
      <w:pPr>
        <w:spacing w:line="360" w:lineRule="auto"/>
        <w:ind w:left="-199"/>
        <w:rPr>
          <w:rFonts w:cs="David"/>
          <w:sz w:val="24"/>
          <w:szCs w:val="24"/>
          <w:rtl/>
        </w:rPr>
      </w:pPr>
      <w:r w:rsidRPr="00AF1F51">
        <w:rPr>
          <w:rFonts w:cs="David" w:hint="cs"/>
          <w:sz w:val="24"/>
          <w:szCs w:val="24"/>
          <w:rtl/>
        </w:rPr>
        <w:t xml:space="preserve">2. כתוצאה מהצלחות אלה, והעדר </w:t>
      </w:r>
      <w:r w:rsidR="00C84ADF">
        <w:rPr>
          <w:rFonts w:cs="David" w:hint="cs"/>
          <w:sz w:val="24"/>
          <w:szCs w:val="24"/>
          <w:rtl/>
        </w:rPr>
        <w:t>הצלחות בארצות אחרות, ר</w:t>
      </w:r>
      <w:r w:rsidRPr="00AF1F51">
        <w:rPr>
          <w:rFonts w:cs="David" w:hint="cs"/>
          <w:sz w:val="24"/>
          <w:szCs w:val="24"/>
          <w:rtl/>
        </w:rPr>
        <w:t>שימת הפושעים המבוקשים ביותר מתמקד באנשים ששירתו במחנות המוות ובעוצ</w:t>
      </w:r>
      <w:r w:rsidR="00C84ADF">
        <w:rPr>
          <w:rFonts w:cs="David" w:hint="cs"/>
          <w:sz w:val="24"/>
          <w:szCs w:val="24"/>
          <w:rtl/>
        </w:rPr>
        <w:t>ב</w:t>
      </w:r>
      <w:r w:rsidRPr="00AF1F51">
        <w:rPr>
          <w:rFonts w:cs="David" w:hint="cs"/>
          <w:sz w:val="24"/>
          <w:szCs w:val="24"/>
          <w:rtl/>
        </w:rPr>
        <w:t>ות המבצע כי הם אלה עם הסכויים הטובים ביותר להשפט</w:t>
      </w:r>
      <w:r w:rsidR="00C84ADF">
        <w:rPr>
          <w:rFonts w:cs="David" w:hint="cs"/>
          <w:sz w:val="24"/>
          <w:szCs w:val="24"/>
          <w:rtl/>
        </w:rPr>
        <w:t xml:space="preserve"> בעתיד הקרוב</w:t>
      </w:r>
      <w:r w:rsidRPr="00AF1F51">
        <w:rPr>
          <w:rFonts w:cs="David" w:hint="cs"/>
          <w:sz w:val="24"/>
          <w:szCs w:val="24"/>
          <w:rtl/>
        </w:rPr>
        <w:t xml:space="preserve">. </w:t>
      </w:r>
    </w:p>
    <w:p w:rsidR="00AF1F51" w:rsidRPr="00AF1F51" w:rsidRDefault="00AF1F51" w:rsidP="00AF1F51">
      <w:pPr>
        <w:spacing w:line="360" w:lineRule="auto"/>
        <w:ind w:left="-199"/>
        <w:rPr>
          <w:rFonts w:cs="David"/>
          <w:sz w:val="24"/>
          <w:szCs w:val="24"/>
          <w:rtl/>
        </w:rPr>
      </w:pPr>
      <w:r w:rsidRPr="00AF1F51">
        <w:rPr>
          <w:rFonts w:cs="David" w:hint="cs"/>
          <w:sz w:val="24"/>
          <w:szCs w:val="24"/>
          <w:rtl/>
        </w:rPr>
        <w:t xml:space="preserve">3. </w:t>
      </w:r>
      <w:r w:rsidRPr="00AF1F51">
        <w:rPr>
          <w:rFonts w:cs="David"/>
          <w:sz w:val="24"/>
          <w:szCs w:val="24"/>
          <w:rtl/>
        </w:rPr>
        <w:t xml:space="preserve">המכשול העיקרי בדרך לניצחון הצדק, בעיקר בארצות מזרח אירופה, הוא חוסר הרצון הפוליטי להעמיד פושעי מלחמה נאצים לדין ו/או להענישם. המכשול הנוסף הוא שהארצות הבלטיות מנהלות </w:t>
      </w:r>
      <w:r w:rsidRPr="00AF1F51">
        <w:rPr>
          <w:rFonts w:cs="David"/>
          <w:sz w:val="24"/>
          <w:szCs w:val="24"/>
          <w:rtl/>
        </w:rPr>
        <w:lastRenderedPageBreak/>
        <w:t xml:space="preserve">מסע מתוזמר במטרה לשכתב  את  היסטוריית השואה כדי להעלים את חלקן בפשעים נגד היהודים ולהשיג הכרה רשמית בכך שפשעי הקומוניזם שווים לפשעי הנאציזם, וכך נערם עוד מכשול שמקשה על העמדתם לדין של אלה האחראים לפשעי השואה. </w:t>
      </w:r>
    </w:p>
    <w:p w:rsidR="00AF1F51" w:rsidRPr="00AF1F51" w:rsidRDefault="00AF1F51" w:rsidP="00AF1F51">
      <w:pPr>
        <w:spacing w:line="360" w:lineRule="auto"/>
        <w:rPr>
          <w:rFonts w:cs="David"/>
          <w:sz w:val="24"/>
          <w:szCs w:val="24"/>
          <w:rtl/>
        </w:rPr>
      </w:pPr>
    </w:p>
    <w:p w:rsidR="00AF1F51" w:rsidRPr="00AF1F51" w:rsidRDefault="00AF1F51" w:rsidP="00A07FBE">
      <w:pPr>
        <w:spacing w:line="360" w:lineRule="auto"/>
        <w:ind w:left="-58"/>
        <w:rPr>
          <w:rFonts w:cs="David"/>
          <w:sz w:val="24"/>
          <w:szCs w:val="24"/>
          <w:rtl/>
        </w:rPr>
      </w:pPr>
      <w:r w:rsidRPr="00AF1F51">
        <w:rPr>
          <w:rFonts w:cs="David"/>
          <w:sz w:val="24"/>
          <w:szCs w:val="24"/>
          <w:rtl/>
        </w:rPr>
        <w:t>מחבר הדו"ח, מנהל מרכז ויזנטל בישראל דר' אפרים זורוף, שמרכז את המאמצים לאתר ולסייע בהעמדה לדין של פושעים נאצים בעולם, הדגיש שהמספרים בדו"ח מצביעים בברור שניתן עדיין להשיג דין צדק כנגד פושעים נאצים. "בש</w:t>
      </w:r>
      <w:r w:rsidRPr="00AF1F51">
        <w:rPr>
          <w:rFonts w:cs="David" w:hint="cs"/>
          <w:sz w:val="24"/>
          <w:szCs w:val="24"/>
          <w:rtl/>
        </w:rPr>
        <w:t>לוש</w:t>
      </w:r>
      <w:r w:rsidRPr="00AF1F51">
        <w:rPr>
          <w:rFonts w:cs="David"/>
          <w:sz w:val="24"/>
          <w:szCs w:val="24"/>
          <w:rtl/>
        </w:rPr>
        <w:t xml:space="preserve"> עשרה השנים האחרונות הושגו הרשעות בלפחות </w:t>
      </w:r>
      <w:r w:rsidRPr="00AF1F51">
        <w:rPr>
          <w:rFonts w:cs="David" w:hint="cs"/>
          <w:sz w:val="24"/>
          <w:szCs w:val="24"/>
          <w:rtl/>
        </w:rPr>
        <w:t>מאה ואחד</w:t>
      </w:r>
      <w:r w:rsidRPr="00AF1F51">
        <w:rPr>
          <w:rFonts w:cs="David"/>
          <w:sz w:val="24"/>
          <w:szCs w:val="24"/>
          <w:rtl/>
        </w:rPr>
        <w:t xml:space="preserve"> משפטים של פושעים נאצים, הוגשו לפחות </w:t>
      </w:r>
      <w:r w:rsidR="00A07FBE">
        <w:rPr>
          <w:rFonts w:cs="David" w:hint="cs"/>
          <w:sz w:val="24"/>
          <w:szCs w:val="24"/>
          <w:rtl/>
        </w:rPr>
        <w:t>תשעים ואחד</w:t>
      </w:r>
      <w:r w:rsidRPr="00AF1F51">
        <w:rPr>
          <w:rFonts w:cs="David"/>
          <w:sz w:val="24"/>
          <w:szCs w:val="24"/>
          <w:rtl/>
        </w:rPr>
        <w:t xml:space="preserve"> כתבי-אישום חדשים ונפתחו למעלה משלושת אלפים חקירות חדשות. למרות ההנחה הרווחת שכבר מאוחר מדי להעמיד פושעים נאצים לדין, המספרים מוכיחים אחרת, ואנו מנסים להבטיח שבשנים הקרובות יובאו לדין לפחות חלק מאותם מקרים. קיימת הנחה שגילם המבוגר של הפושעים מונע את הבאתם לדין, אך המכשול  העיקרי הוא חוסר רצון פוליטי בצרוף הדעה השגויה שכבר בלתי אפשרי בשלב זה  לאתר, לזהות, ולהרשיע פושעים אלה. ההצלחה שהושגה על ידי תובעים מסורים לעניין, בייחוד בארה"ב,  איטליה וגרמניה צריכה להוכיח לממשלות בכל העולם שעליהן להשקיע מאמץ גדול יותר כשעוד ניתן להשיג קורטוב של צדק." </w:t>
      </w:r>
    </w:p>
    <w:p w:rsidR="00AF1F51" w:rsidRPr="00AF1F51" w:rsidRDefault="00AF1F51" w:rsidP="00AF1F51">
      <w:pPr>
        <w:spacing w:line="360" w:lineRule="auto"/>
        <w:ind w:left="-874"/>
        <w:rPr>
          <w:rFonts w:cs="David"/>
          <w:sz w:val="24"/>
          <w:szCs w:val="24"/>
          <w:rtl/>
        </w:rPr>
      </w:pPr>
      <w:r w:rsidRPr="00AF1F51">
        <w:rPr>
          <w:rFonts w:cs="David"/>
          <w:sz w:val="24"/>
          <w:szCs w:val="24"/>
          <w:rtl/>
        </w:rPr>
        <w:t> </w:t>
      </w:r>
    </w:p>
    <w:p w:rsidR="00AF1F51" w:rsidRPr="00AF1F51" w:rsidRDefault="00AF1F51" w:rsidP="00AF1F51">
      <w:pPr>
        <w:spacing w:line="360" w:lineRule="auto"/>
        <w:ind w:left="-58"/>
        <w:rPr>
          <w:rFonts w:cs="David"/>
          <w:sz w:val="24"/>
          <w:szCs w:val="24"/>
          <w:rtl/>
        </w:rPr>
      </w:pPr>
      <w:r w:rsidRPr="00AF1F51">
        <w:rPr>
          <w:rFonts w:cs="David"/>
          <w:sz w:val="24"/>
          <w:szCs w:val="24"/>
          <w:rtl/>
        </w:rPr>
        <w:t xml:space="preserve">זורוף מסביר שמטרת הדו"ח למקד את תשומת לב הציבור בנושא זה וכך לעודד את הממשלות הנוגעות בדבר להגביר את מאמציהן ולהבטיח שפושעים רבים ככל האפשר שטרם הורשעו ישלמו על פשעיהם. במובן זה, אנו מבקשים להדגיש את התוצאות הטובות שהושגו בתקופה הנסקרת ע"י מדינות כהונגריה וקנדה, ומולן את הכישלון של ליטא, לטביה, אסטוניה ואוקראינה שאינן מצליחות, בעקביות, להעניש את מבצעי השואה, בעיקר בשל חוסר הרצון הפוליטי הנחוץ וכן את שבדיה ונורבגיה שמסרבות באופן עקרוני לחקור ולשפוט אותם בשל חוקי התיישנות." </w:t>
      </w:r>
    </w:p>
    <w:p w:rsidR="00AF1F51" w:rsidRDefault="00AF1F51" w:rsidP="00AF1F51">
      <w:pPr>
        <w:spacing w:line="340" w:lineRule="exact"/>
        <w:ind w:left="-58"/>
        <w:rPr>
          <w:rFonts w:cs="David"/>
          <w:b/>
          <w:bCs/>
          <w:sz w:val="28"/>
          <w:szCs w:val="28"/>
          <w:rtl/>
        </w:rPr>
      </w:pPr>
      <w:r>
        <w:rPr>
          <w:rFonts w:cs="David"/>
          <w:b/>
          <w:bCs/>
          <w:sz w:val="28"/>
          <w:szCs w:val="28"/>
          <w:rtl/>
        </w:rPr>
        <w:t> </w:t>
      </w:r>
    </w:p>
    <w:p w:rsidR="00AF1F51" w:rsidRPr="00AF1F51" w:rsidRDefault="00AF1F51" w:rsidP="00AF1F51">
      <w:pPr>
        <w:spacing w:line="340" w:lineRule="exact"/>
        <w:ind w:left="-58"/>
        <w:rPr>
          <w:rFonts w:cs="David"/>
          <w:b/>
          <w:bCs/>
          <w:rtl/>
        </w:rPr>
      </w:pPr>
      <w:r w:rsidRPr="00AF1F51">
        <w:rPr>
          <w:rFonts w:cs="David"/>
          <w:b/>
          <w:bCs/>
          <w:rtl/>
        </w:rPr>
        <w:t xml:space="preserve"> למידע נוסף בבקשה להתקשר למשרדנו: 5631273-02  או  721-4156-050 </w:t>
      </w:r>
    </w:p>
    <w:p w:rsidR="00AF1F51" w:rsidRDefault="00AF1F51" w:rsidP="00AF1F51">
      <w:pPr>
        <w:spacing w:line="340" w:lineRule="exact"/>
        <w:ind w:left="-58"/>
        <w:rPr>
          <w:rFonts w:cs="David"/>
          <w:b/>
          <w:bCs/>
          <w:rtl/>
        </w:rPr>
      </w:pPr>
      <w:r w:rsidRPr="00AF1F51">
        <w:rPr>
          <w:rFonts w:cs="David"/>
          <w:b/>
          <w:bCs/>
          <w:rtl/>
        </w:rPr>
        <w:t xml:space="preserve">וכן בקרו באתרינו באינטרנט:  </w:t>
      </w:r>
      <w:r w:rsidRPr="00AF1F51">
        <w:fldChar w:fldCharType="begin"/>
      </w:r>
      <w:r w:rsidRPr="00AF1F51">
        <w:instrText xml:space="preserve"> HYPERLINK "http://www.operationlastchance.org/" </w:instrText>
      </w:r>
      <w:r w:rsidRPr="00AF1F51">
        <w:fldChar w:fldCharType="separate"/>
      </w:r>
      <w:r w:rsidRPr="00AF1F51">
        <w:rPr>
          <w:rStyle w:val="Hyperlink"/>
          <w:rFonts w:cs="David"/>
          <w:b/>
          <w:bCs/>
        </w:rPr>
        <w:t>www.operationlastchance.org</w:t>
      </w:r>
      <w:r w:rsidRPr="00AF1F51">
        <w:rPr>
          <w:rStyle w:val="Hyperlink"/>
          <w:rFonts w:cs="David"/>
          <w:b/>
          <w:bCs/>
          <w:color w:val="auto"/>
        </w:rPr>
        <w:fldChar w:fldCharType="end"/>
      </w:r>
      <w:r w:rsidRPr="00AF1F51">
        <w:rPr>
          <w:rFonts w:cs="David"/>
          <w:b/>
          <w:bCs/>
          <w:rtl/>
        </w:rPr>
        <w:t xml:space="preserve">      </w:t>
      </w:r>
      <w:hyperlink r:id="rId10" w:history="1">
        <w:r w:rsidRPr="00AF1F51">
          <w:rPr>
            <w:rStyle w:val="Hyperlink"/>
            <w:rFonts w:cs="David"/>
            <w:b/>
            <w:bCs/>
          </w:rPr>
          <w:t>www.wiesenthal.com</w:t>
        </w:r>
      </w:hyperlink>
    </w:p>
    <w:p w:rsidR="00AF1F51" w:rsidRPr="00AF1F51" w:rsidRDefault="00AF1F51" w:rsidP="00AF1F51">
      <w:pPr>
        <w:spacing w:line="340" w:lineRule="exact"/>
        <w:ind w:left="-58"/>
        <w:rPr>
          <w:rFonts w:cs="David"/>
          <w:b/>
          <w:bCs/>
          <w:rtl/>
        </w:rPr>
      </w:pPr>
      <w:r>
        <w:rPr>
          <w:rFonts w:cs="David" w:hint="cs"/>
          <w:b/>
          <w:bCs/>
          <w:rtl/>
        </w:rPr>
        <w:t xml:space="preserve">עקבו אחרינו בפייסבוק </w:t>
      </w:r>
      <w:r>
        <w:rPr>
          <w:rFonts w:cs="David"/>
          <w:b/>
          <w:bCs/>
        </w:rPr>
        <w:t>(</w:t>
      </w:r>
      <w:proofErr w:type="spellStart"/>
      <w:r>
        <w:rPr>
          <w:rFonts w:cs="David"/>
          <w:b/>
          <w:bCs/>
        </w:rPr>
        <w:t>Efraim</w:t>
      </w:r>
      <w:proofErr w:type="spellEnd"/>
      <w:r>
        <w:rPr>
          <w:rFonts w:cs="David"/>
          <w:b/>
          <w:bCs/>
        </w:rPr>
        <w:t xml:space="preserve"> </w:t>
      </w:r>
      <w:proofErr w:type="spellStart"/>
      <w:r>
        <w:rPr>
          <w:rFonts w:cs="David"/>
          <w:b/>
          <w:bCs/>
        </w:rPr>
        <w:t>Zuroff</w:t>
      </w:r>
      <w:proofErr w:type="spellEnd"/>
      <w:r>
        <w:rPr>
          <w:rFonts w:cs="David"/>
          <w:b/>
          <w:bCs/>
        </w:rPr>
        <w:t>)</w:t>
      </w:r>
      <w:r>
        <w:rPr>
          <w:rFonts w:cs="David" w:hint="cs"/>
          <w:b/>
          <w:bCs/>
          <w:rtl/>
        </w:rPr>
        <w:t xml:space="preserve"> ובטוויטר </w:t>
      </w:r>
      <w:r>
        <w:rPr>
          <w:rFonts w:cs="David"/>
          <w:b/>
          <w:bCs/>
        </w:rPr>
        <w:t>(@</w:t>
      </w:r>
      <w:proofErr w:type="spellStart"/>
      <w:r>
        <w:rPr>
          <w:rFonts w:cs="David"/>
          <w:b/>
          <w:bCs/>
        </w:rPr>
        <w:t>EZuroff</w:t>
      </w:r>
      <w:proofErr w:type="spellEnd"/>
      <w:r>
        <w:rPr>
          <w:rFonts w:cs="David"/>
          <w:b/>
          <w:bCs/>
        </w:rPr>
        <w:t>)</w:t>
      </w:r>
      <w:r>
        <w:rPr>
          <w:rFonts w:cs="David" w:hint="cs"/>
          <w:b/>
          <w:bCs/>
          <w:rtl/>
        </w:rPr>
        <w:t xml:space="preserve">. </w:t>
      </w:r>
    </w:p>
    <w:p w:rsidR="00800543" w:rsidRDefault="00800543">
      <w:pPr>
        <w:bidi w:val="0"/>
        <w:rPr>
          <w:rFonts w:cs="David"/>
          <w:sz w:val="24"/>
          <w:szCs w:val="24"/>
          <w:rtl/>
        </w:rPr>
      </w:pPr>
      <w:r>
        <w:rPr>
          <w:rFonts w:cs="David"/>
          <w:sz w:val="24"/>
          <w:szCs w:val="24"/>
          <w:rtl/>
        </w:rPr>
        <w:br w:type="page"/>
      </w:r>
    </w:p>
    <w:p w:rsidR="00800543" w:rsidRDefault="00800543" w:rsidP="00800543">
      <w:pPr>
        <w:spacing w:line="360" w:lineRule="auto"/>
        <w:ind w:left="-694" w:right="-540"/>
        <w:jc w:val="center"/>
        <w:rPr>
          <w:rFonts w:cs="David"/>
          <w:b/>
          <w:bCs/>
          <w:sz w:val="32"/>
          <w:szCs w:val="32"/>
          <w:u w:val="single"/>
          <w:rtl/>
        </w:rPr>
      </w:pPr>
      <w:r>
        <w:rPr>
          <w:rFonts w:cs="David"/>
          <w:b/>
          <w:bCs/>
          <w:sz w:val="32"/>
          <w:szCs w:val="32"/>
          <w:u w:val="single"/>
          <w:rtl/>
        </w:rPr>
        <w:lastRenderedPageBreak/>
        <w:t>גיליון ציונים של חקירות והעמדה לדין</w:t>
      </w:r>
    </w:p>
    <w:p w:rsidR="00800543" w:rsidRDefault="00800543" w:rsidP="00770127">
      <w:pPr>
        <w:spacing w:line="360" w:lineRule="auto"/>
        <w:ind w:left="-101" w:right="-540"/>
        <w:rPr>
          <w:rFonts w:cs="David"/>
          <w:rtl/>
        </w:rPr>
      </w:pPr>
      <w:r>
        <w:rPr>
          <w:rFonts w:cs="David"/>
          <w:rtl/>
        </w:rPr>
        <w:t xml:space="preserve"> כחלק מהדו"ח השנה הענקנו ציונים הנעים מ </w:t>
      </w:r>
      <w:r>
        <w:rPr>
          <w:rFonts w:cs="David"/>
        </w:rPr>
        <w:t>A</w:t>
      </w:r>
      <w:r>
        <w:rPr>
          <w:rFonts w:cs="David"/>
          <w:rtl/>
        </w:rPr>
        <w:t xml:space="preserve"> (הגבוה ביותר) ועד </w:t>
      </w:r>
      <w:r>
        <w:rPr>
          <w:rFonts w:cs="David"/>
        </w:rPr>
        <w:t>F</w:t>
      </w:r>
      <w:r>
        <w:rPr>
          <w:rFonts w:cs="David"/>
          <w:rtl/>
        </w:rPr>
        <w:t xml:space="preserve"> שמשקפים את הערכת מרכז שמעון ויזנטל על המאמצים והתוצאות שהושגו על ידי המדינות השונות בשנה האחרונה. (מדינות שלא ענו על השאלון שנשלח להן ושלא התקיימה בהן שום פעילות של חקירה ו/או העמדה לדין של פושעים נאצים נכללו בקטגוריה </w:t>
      </w:r>
      <w:r>
        <w:rPr>
          <w:rFonts w:cs="David"/>
        </w:rPr>
        <w:t>X</w:t>
      </w:r>
      <w:r>
        <w:rPr>
          <w:rFonts w:cs="David"/>
          <w:rtl/>
        </w:rPr>
        <w:t xml:space="preserve">.) </w:t>
      </w:r>
    </w:p>
    <w:p w:rsidR="00800543" w:rsidRDefault="00800543" w:rsidP="00770127">
      <w:pPr>
        <w:spacing w:line="360" w:lineRule="auto"/>
        <w:ind w:left="-101" w:right="-540"/>
        <w:rPr>
          <w:rFonts w:cs="David"/>
          <w:rtl/>
        </w:rPr>
      </w:pPr>
      <w:r>
        <w:rPr>
          <w:rFonts w:cs="David"/>
          <w:rtl/>
        </w:rPr>
        <w:t xml:space="preserve">להלן מפתח להבנת הציונים: </w:t>
      </w:r>
    </w:p>
    <w:p w:rsidR="00800543" w:rsidRDefault="00800543" w:rsidP="00770127">
      <w:pPr>
        <w:spacing w:line="360" w:lineRule="auto"/>
        <w:ind w:left="-101" w:right="-540"/>
        <w:rPr>
          <w:rFonts w:cs="David"/>
          <w:b/>
          <w:bCs/>
          <w:u w:val="single"/>
          <w:rtl/>
        </w:rPr>
      </w:pPr>
      <w:r>
        <w:rPr>
          <w:rFonts w:cs="David"/>
          <w:rtl/>
        </w:rPr>
        <w:t> </w:t>
      </w:r>
      <w:r>
        <w:rPr>
          <w:rFonts w:cs="David"/>
          <w:b/>
          <w:bCs/>
          <w:u w:val="single"/>
          <w:rtl/>
        </w:rPr>
        <w:t xml:space="preserve">קטגוריה </w:t>
      </w:r>
      <w:r>
        <w:rPr>
          <w:rFonts w:cs="David"/>
          <w:b/>
          <w:bCs/>
          <w:u w:val="single"/>
        </w:rPr>
        <w:t>A</w:t>
      </w:r>
      <w:r>
        <w:rPr>
          <w:rFonts w:cs="David"/>
          <w:b/>
          <w:bCs/>
          <w:u w:val="single"/>
          <w:rtl/>
        </w:rPr>
        <w:t>: תוכנית מצטיינת לחקירה והעמדה לדין</w:t>
      </w:r>
    </w:p>
    <w:p w:rsidR="00800543" w:rsidRDefault="00800543" w:rsidP="00770127">
      <w:pPr>
        <w:spacing w:line="360" w:lineRule="auto"/>
        <w:ind w:left="-101" w:right="-540"/>
        <w:rPr>
          <w:rFonts w:cs="David"/>
          <w:rtl/>
        </w:rPr>
      </w:pPr>
      <w:r>
        <w:rPr>
          <w:rFonts w:cs="David"/>
          <w:rtl/>
        </w:rPr>
        <w:t xml:space="preserve">מדינות שאימצו גישה פעילה בנושא ושנקטו בכל האמצעים המתבקשים בכדי לזהות פושעי מלחמה נאצים פוטנציאלים החיים בהן במטרה להשיג תוצאות ראויות לציון בתחום החקירות וההעמדה לדין בתקופה הנדונה. </w:t>
      </w:r>
    </w:p>
    <w:p w:rsidR="00800543" w:rsidRDefault="00800543" w:rsidP="00770127">
      <w:pPr>
        <w:spacing w:line="360" w:lineRule="auto"/>
        <w:ind w:left="-101" w:right="-540"/>
        <w:rPr>
          <w:rFonts w:cs="David"/>
          <w:b/>
          <w:bCs/>
          <w:u w:val="single"/>
          <w:rtl/>
        </w:rPr>
      </w:pPr>
      <w:r>
        <w:rPr>
          <w:rFonts w:cs="David"/>
          <w:rtl/>
        </w:rPr>
        <w:t> </w:t>
      </w:r>
      <w:r>
        <w:rPr>
          <w:rFonts w:cs="David"/>
          <w:b/>
          <w:bCs/>
          <w:u w:val="single"/>
          <w:rtl/>
        </w:rPr>
        <w:t xml:space="preserve">קטגוריה </w:t>
      </w:r>
      <w:r>
        <w:rPr>
          <w:rFonts w:cs="David"/>
          <w:b/>
          <w:bCs/>
          <w:u w:val="single"/>
        </w:rPr>
        <w:t>B</w:t>
      </w:r>
      <w:r>
        <w:rPr>
          <w:rFonts w:cs="David"/>
          <w:b/>
          <w:bCs/>
          <w:u w:val="single"/>
          <w:rtl/>
        </w:rPr>
        <w:t>: תוכנית חקירה והעמדה לדין שנחלה הצלחה מעשית</w:t>
      </w:r>
    </w:p>
    <w:p w:rsidR="00800543" w:rsidRDefault="00800543" w:rsidP="00770127">
      <w:pPr>
        <w:spacing w:line="360" w:lineRule="auto"/>
        <w:ind w:left="-101" w:right="-540"/>
        <w:rPr>
          <w:rFonts w:cs="David"/>
          <w:rtl/>
        </w:rPr>
      </w:pPr>
      <w:r>
        <w:rPr>
          <w:rFonts w:cs="David"/>
          <w:rtl/>
        </w:rPr>
        <w:t>מדינות שבמהלך התקופה הנדונה פעלו בצורה חיובית נגד  פושע או פושעים נאצים ספציפיים והשיגו לפחות הרשעה אחת  ו/או הגישו כתב-אישום אחד או בקשת  הסגרה (אם החשוד חי במדינה אחרת).</w:t>
      </w:r>
    </w:p>
    <w:p w:rsidR="00800543" w:rsidRDefault="00800543" w:rsidP="00770127">
      <w:pPr>
        <w:spacing w:line="360" w:lineRule="auto"/>
        <w:ind w:left="-101" w:right="-540"/>
        <w:rPr>
          <w:rFonts w:cs="David"/>
          <w:b/>
          <w:bCs/>
          <w:u w:val="single"/>
          <w:rtl/>
        </w:rPr>
      </w:pPr>
      <w:r>
        <w:rPr>
          <w:rFonts w:cs="David"/>
          <w:b/>
          <w:bCs/>
          <w:u w:val="single"/>
          <w:rtl/>
        </w:rPr>
        <w:t xml:space="preserve">קטגוריה </w:t>
      </w:r>
      <w:r>
        <w:rPr>
          <w:rFonts w:cs="David"/>
          <w:b/>
          <w:bCs/>
          <w:u w:val="single"/>
        </w:rPr>
        <w:t>C</w:t>
      </w:r>
      <w:r>
        <w:rPr>
          <w:rFonts w:cs="David"/>
          <w:b/>
          <w:bCs/>
          <w:u w:val="single"/>
          <w:rtl/>
        </w:rPr>
        <w:t xml:space="preserve">: הצלחה מועטה במקום שיכלה להיות רבה יותר, נדרשים צעדים נוספים בדחיפות </w:t>
      </w:r>
    </w:p>
    <w:p w:rsidR="00800543" w:rsidRDefault="00800543" w:rsidP="00770127">
      <w:pPr>
        <w:spacing w:line="360" w:lineRule="auto"/>
        <w:ind w:left="-101" w:right="-540"/>
        <w:rPr>
          <w:rFonts w:cs="David"/>
          <w:rtl/>
        </w:rPr>
      </w:pPr>
      <w:r>
        <w:rPr>
          <w:rFonts w:cs="David"/>
          <w:rtl/>
        </w:rPr>
        <w:t xml:space="preserve">מדינות שלא השיגו אפילו הרשעה אחת או הגישו כתב-אישום אחד או בקשת מעצר או הסגרה, אבל קידמו את הטיפול במקרים קודמים שהועלו לדיון משפטי או פתחו חקירות חדשות בעלות סיכוי רציני להצלחה. </w:t>
      </w:r>
    </w:p>
    <w:p w:rsidR="00800543" w:rsidRDefault="00800543" w:rsidP="00770127">
      <w:pPr>
        <w:spacing w:line="360" w:lineRule="auto"/>
        <w:ind w:left="-101" w:right="-540"/>
        <w:rPr>
          <w:rFonts w:cs="David"/>
          <w:b/>
          <w:bCs/>
          <w:u w:val="single"/>
          <w:rtl/>
        </w:rPr>
      </w:pPr>
      <w:r>
        <w:rPr>
          <w:rFonts w:cs="David"/>
          <w:b/>
          <w:bCs/>
          <w:u w:val="single"/>
          <w:rtl/>
        </w:rPr>
        <w:t xml:space="preserve">קטגוריה </w:t>
      </w:r>
      <w:r>
        <w:rPr>
          <w:rFonts w:cs="David"/>
          <w:b/>
          <w:bCs/>
          <w:u w:val="single"/>
        </w:rPr>
        <w:t>D</w:t>
      </w:r>
      <w:r>
        <w:rPr>
          <w:rFonts w:cs="David"/>
          <w:b/>
          <w:bCs/>
          <w:u w:val="single"/>
          <w:rtl/>
        </w:rPr>
        <w:t>: מאמצים לא מספקים ו/או לא מוצלחים</w:t>
      </w:r>
    </w:p>
    <w:p w:rsidR="00800543" w:rsidRDefault="00800543" w:rsidP="00770127">
      <w:pPr>
        <w:spacing w:line="360" w:lineRule="auto"/>
        <w:ind w:left="-101" w:right="-540"/>
        <w:rPr>
          <w:rFonts w:cs="David"/>
          <w:rtl/>
        </w:rPr>
      </w:pPr>
      <w:r>
        <w:rPr>
          <w:rFonts w:cs="David"/>
          <w:rtl/>
        </w:rPr>
        <w:t xml:space="preserve">מדינות שלפחות השקיעו מאמץ מזערי בחקירת פושעים נאצים אבל לא השיגו תוצאות מעשיות, או כאלה שנושא זה לא קיבל טיפול מעשי בתקופה הנדונה. מדינות אלה הפסיקו או צמצמו במקרים רבים את המאמצים להתמודד עם הנושא בטרם עת ובזמן שעוד יכלו להשיג תוצאות חשובות אילו שינו את מדיניותן. </w:t>
      </w:r>
    </w:p>
    <w:p w:rsidR="00800543" w:rsidRDefault="00800543" w:rsidP="00770127">
      <w:pPr>
        <w:spacing w:line="360" w:lineRule="auto"/>
        <w:ind w:left="-101" w:right="-540"/>
        <w:rPr>
          <w:rFonts w:cs="David"/>
          <w:b/>
          <w:bCs/>
          <w:u w:val="single"/>
          <w:rtl/>
        </w:rPr>
      </w:pPr>
      <w:r>
        <w:rPr>
          <w:rFonts w:cs="David"/>
          <w:rtl/>
        </w:rPr>
        <w:t> </w:t>
      </w:r>
      <w:r>
        <w:rPr>
          <w:rFonts w:cs="David"/>
          <w:b/>
          <w:bCs/>
          <w:u w:val="single"/>
          <w:rtl/>
        </w:rPr>
        <w:t xml:space="preserve">קטגוריה </w:t>
      </w:r>
      <w:r>
        <w:rPr>
          <w:rFonts w:cs="David"/>
          <w:b/>
          <w:bCs/>
          <w:u w:val="single"/>
        </w:rPr>
        <w:t>E</w:t>
      </w:r>
      <w:r>
        <w:rPr>
          <w:rFonts w:cs="David"/>
          <w:b/>
          <w:bCs/>
          <w:u w:val="single"/>
          <w:rtl/>
        </w:rPr>
        <w:t>: לא ידוע על חשודים</w:t>
      </w:r>
    </w:p>
    <w:p w:rsidR="00800543" w:rsidRDefault="00800543" w:rsidP="00770127">
      <w:pPr>
        <w:spacing w:line="360" w:lineRule="auto"/>
        <w:ind w:left="-101" w:right="-540"/>
        <w:rPr>
          <w:rFonts w:cs="David"/>
          <w:rtl/>
        </w:rPr>
      </w:pPr>
      <w:r>
        <w:rPr>
          <w:rFonts w:cs="David"/>
          <w:rtl/>
        </w:rPr>
        <w:t xml:space="preserve">מדינות שלא ידוע אם יש בהן חשודים ולא נקטו בצעדים מעשיים כדי לחשוף מקרים חדשים. </w:t>
      </w:r>
    </w:p>
    <w:p w:rsidR="00800543" w:rsidRDefault="00800543" w:rsidP="00770127">
      <w:pPr>
        <w:spacing w:line="360" w:lineRule="auto"/>
        <w:ind w:left="-101" w:right="-540"/>
        <w:rPr>
          <w:rFonts w:cs="David"/>
          <w:b/>
          <w:bCs/>
          <w:u w:val="single"/>
          <w:rtl/>
        </w:rPr>
      </w:pPr>
      <w:r>
        <w:rPr>
          <w:rFonts w:cs="David"/>
          <w:b/>
          <w:bCs/>
          <w:u w:val="single"/>
          <w:rtl/>
        </w:rPr>
        <w:t xml:space="preserve">קטגוריה </w:t>
      </w:r>
      <w:r>
        <w:rPr>
          <w:rFonts w:cs="David"/>
          <w:b/>
          <w:bCs/>
          <w:u w:val="single"/>
        </w:rPr>
        <w:t>F-1</w:t>
      </w:r>
      <w:r>
        <w:rPr>
          <w:rFonts w:cs="David"/>
          <w:b/>
          <w:bCs/>
          <w:u w:val="single"/>
          <w:rtl/>
        </w:rPr>
        <w:t>: כשלון עקרוני</w:t>
      </w:r>
    </w:p>
    <w:p w:rsidR="00800543" w:rsidRDefault="00800543" w:rsidP="00770127">
      <w:pPr>
        <w:spacing w:line="360" w:lineRule="auto"/>
        <w:ind w:left="-101" w:right="-540"/>
        <w:rPr>
          <w:rFonts w:cs="David"/>
          <w:rtl/>
        </w:rPr>
      </w:pPr>
      <w:r>
        <w:rPr>
          <w:rFonts w:cs="David"/>
          <w:rtl/>
        </w:rPr>
        <w:t xml:space="preserve">מדינות שסירבו בעיקרון לחקור ולהרשיע חשודים נאצים בשל מגבלות חוק (חוק התיישנות) או סיבות אידיאולוגיות. </w:t>
      </w:r>
    </w:p>
    <w:p w:rsidR="00800543" w:rsidRDefault="00800543" w:rsidP="00770127">
      <w:pPr>
        <w:spacing w:line="360" w:lineRule="auto"/>
        <w:ind w:left="-101" w:right="-540"/>
        <w:rPr>
          <w:rFonts w:cs="David"/>
          <w:b/>
          <w:bCs/>
          <w:u w:val="single"/>
          <w:rtl/>
        </w:rPr>
      </w:pPr>
      <w:r>
        <w:rPr>
          <w:rFonts w:cs="David"/>
          <w:rtl/>
        </w:rPr>
        <w:t> </w:t>
      </w:r>
      <w:r>
        <w:rPr>
          <w:rFonts w:cs="David"/>
          <w:b/>
          <w:bCs/>
          <w:u w:val="single"/>
          <w:rtl/>
        </w:rPr>
        <w:t xml:space="preserve">קטגוריה </w:t>
      </w:r>
      <w:r>
        <w:rPr>
          <w:rFonts w:cs="David"/>
          <w:b/>
          <w:bCs/>
          <w:u w:val="single"/>
        </w:rPr>
        <w:t>F-2</w:t>
      </w:r>
      <w:r>
        <w:rPr>
          <w:rFonts w:cs="David"/>
          <w:b/>
          <w:bCs/>
          <w:u w:val="single"/>
          <w:rtl/>
        </w:rPr>
        <w:t>: כשלון ביצועי</w:t>
      </w:r>
    </w:p>
    <w:p w:rsidR="00800543" w:rsidRDefault="00800543" w:rsidP="00770127">
      <w:pPr>
        <w:spacing w:line="360" w:lineRule="auto"/>
        <w:ind w:left="-101" w:right="-540"/>
        <w:rPr>
          <w:rFonts w:cs="David"/>
          <w:rtl/>
        </w:rPr>
      </w:pPr>
      <w:r>
        <w:rPr>
          <w:rFonts w:cs="David"/>
          <w:rtl/>
        </w:rPr>
        <w:t xml:space="preserve">מדינות שאין בהן כל מכשול חוקי לביצוע חקירות והרשעות של חשודים, אך מעשיהן או מחדליהן לא הניבו דבר במהלך השנה, בעיקר בשל חוסר רצון פוליטי או בשל  מחסור במומחים או במשאבים. </w:t>
      </w:r>
    </w:p>
    <w:p w:rsidR="00800543" w:rsidRDefault="00800543" w:rsidP="00770127">
      <w:pPr>
        <w:spacing w:line="360" w:lineRule="auto"/>
        <w:ind w:left="-101" w:right="-540"/>
        <w:rPr>
          <w:rFonts w:cs="David"/>
          <w:u w:val="single"/>
          <w:rtl/>
        </w:rPr>
      </w:pPr>
      <w:r>
        <w:rPr>
          <w:rFonts w:cs="David"/>
          <w:b/>
          <w:bCs/>
          <w:u w:val="single"/>
          <w:rtl/>
        </w:rPr>
        <w:t xml:space="preserve">קטגוריה  </w:t>
      </w:r>
      <w:r>
        <w:rPr>
          <w:rFonts w:cs="David"/>
          <w:b/>
          <w:bCs/>
          <w:u w:val="single"/>
        </w:rPr>
        <w:t>X</w:t>
      </w:r>
      <w:r>
        <w:rPr>
          <w:rFonts w:cs="David"/>
          <w:u w:val="single"/>
          <w:rtl/>
        </w:rPr>
        <w:t>: לא הוגשו נתונים מעודכנים</w:t>
      </w:r>
    </w:p>
    <w:p w:rsidR="00800543" w:rsidRDefault="00800543" w:rsidP="00770127">
      <w:pPr>
        <w:spacing w:line="360" w:lineRule="auto"/>
        <w:ind w:left="-101" w:right="-540"/>
        <w:rPr>
          <w:rFonts w:cs="David"/>
          <w:rtl/>
        </w:rPr>
      </w:pPr>
      <w:r>
        <w:rPr>
          <w:rFonts w:cs="David"/>
          <w:rtl/>
        </w:rPr>
        <w:t xml:space="preserve">מדינות שלא השיבו על השאלון, אך ברור שלא עשו כל מאמץ לחקור פושעי מלחמה במהלך השנה האחרונה.  </w:t>
      </w:r>
    </w:p>
    <w:p w:rsidR="00800543" w:rsidRDefault="00800543" w:rsidP="00770127">
      <w:pPr>
        <w:spacing w:line="360" w:lineRule="auto"/>
        <w:ind w:left="-101" w:right="-540"/>
        <w:rPr>
          <w:rFonts w:cs="David"/>
          <w:rtl/>
        </w:rPr>
      </w:pPr>
      <w:r>
        <w:rPr>
          <w:rFonts w:cs="David"/>
          <w:rtl/>
        </w:rPr>
        <w:t> </w:t>
      </w:r>
    </w:p>
    <w:p w:rsidR="00800543" w:rsidRDefault="00800543" w:rsidP="00770127">
      <w:pPr>
        <w:spacing w:line="360" w:lineRule="auto"/>
        <w:ind w:left="41" w:right="-540"/>
        <w:rPr>
          <w:rFonts w:cs="David"/>
          <w:b/>
          <w:bCs/>
          <w:rtl/>
        </w:rPr>
      </w:pPr>
      <w:r>
        <w:rPr>
          <w:rFonts w:cs="David"/>
          <w:b/>
          <w:bCs/>
          <w:rtl/>
        </w:rPr>
        <w:lastRenderedPageBreak/>
        <w:t xml:space="preserve">להלן הציונים: </w:t>
      </w:r>
    </w:p>
    <w:p w:rsidR="00800543" w:rsidRDefault="00800543" w:rsidP="00770127">
      <w:pPr>
        <w:spacing w:line="360" w:lineRule="auto"/>
        <w:ind w:left="41" w:right="-540"/>
        <w:rPr>
          <w:rFonts w:cs="David"/>
        </w:rPr>
      </w:pPr>
      <w:r>
        <w:rPr>
          <w:rFonts w:cs="David"/>
          <w:rtl/>
        </w:rPr>
        <w:t> </w:t>
      </w:r>
      <w:r>
        <w:rPr>
          <w:rFonts w:cs="David"/>
        </w:rPr>
        <w:t>A</w:t>
      </w:r>
      <w:r>
        <w:rPr>
          <w:rFonts w:cs="David"/>
          <w:rtl/>
        </w:rPr>
        <w:t>:</w:t>
      </w:r>
      <w:r>
        <w:rPr>
          <w:rFonts w:cs="David"/>
          <w:rtl/>
        </w:rPr>
        <w:tab/>
        <w:t>ארצות הברית</w:t>
      </w:r>
      <w:r>
        <w:rPr>
          <w:rFonts w:cs="David" w:hint="cs"/>
          <w:rtl/>
        </w:rPr>
        <w:t>, גרמניה</w:t>
      </w:r>
    </w:p>
    <w:p w:rsidR="00800543" w:rsidRDefault="00800543" w:rsidP="00770127">
      <w:pPr>
        <w:spacing w:before="240" w:line="360" w:lineRule="auto"/>
        <w:ind w:left="41" w:right="-539"/>
        <w:rPr>
          <w:rFonts w:cs="David"/>
          <w:rtl/>
        </w:rPr>
      </w:pPr>
      <w:r>
        <w:rPr>
          <w:rFonts w:cs="David"/>
        </w:rPr>
        <w:t>B</w:t>
      </w:r>
      <w:r>
        <w:rPr>
          <w:rFonts w:cs="David"/>
          <w:rtl/>
        </w:rPr>
        <w:t>:</w:t>
      </w:r>
      <w:r>
        <w:rPr>
          <w:rFonts w:cs="David"/>
          <w:rtl/>
        </w:rPr>
        <w:tab/>
        <w:t>איטליה *</w:t>
      </w:r>
    </w:p>
    <w:p w:rsidR="00800543" w:rsidRDefault="00800543" w:rsidP="00770127">
      <w:pPr>
        <w:spacing w:before="240" w:line="360" w:lineRule="auto"/>
        <w:ind w:left="41" w:right="-539"/>
        <w:rPr>
          <w:rFonts w:cs="David"/>
          <w:rtl/>
        </w:rPr>
      </w:pPr>
      <w:r>
        <w:rPr>
          <w:rFonts w:cs="David"/>
        </w:rPr>
        <w:t>C</w:t>
      </w:r>
      <w:r>
        <w:rPr>
          <w:rFonts w:cs="David"/>
          <w:rtl/>
        </w:rPr>
        <w:t>:</w:t>
      </w:r>
      <w:r>
        <w:rPr>
          <w:rFonts w:cs="David"/>
          <w:rtl/>
        </w:rPr>
        <w:tab/>
        <w:t>פולין</w:t>
      </w:r>
      <w:r>
        <w:rPr>
          <w:rFonts w:cs="David" w:hint="cs"/>
          <w:rtl/>
        </w:rPr>
        <w:t>, קרואטיה</w:t>
      </w:r>
    </w:p>
    <w:p w:rsidR="00800543" w:rsidRDefault="00800543" w:rsidP="00770127">
      <w:pPr>
        <w:spacing w:before="240" w:line="360" w:lineRule="auto"/>
        <w:ind w:left="41" w:right="-539"/>
        <w:rPr>
          <w:rFonts w:cs="David"/>
        </w:rPr>
      </w:pPr>
      <w:r>
        <w:rPr>
          <w:rFonts w:cs="David"/>
        </w:rPr>
        <w:t>D</w:t>
      </w:r>
      <w:r>
        <w:rPr>
          <w:rFonts w:cs="David"/>
          <w:rtl/>
        </w:rPr>
        <w:t>:</w:t>
      </w:r>
      <w:r>
        <w:rPr>
          <w:rFonts w:cs="David"/>
          <w:rtl/>
        </w:rPr>
        <w:tab/>
        <w:t xml:space="preserve"> </w:t>
      </w:r>
      <w:r>
        <w:rPr>
          <w:rFonts w:cs="David" w:hint="cs"/>
          <w:rtl/>
        </w:rPr>
        <w:t>אנגליה, רומניה, קנדה</w:t>
      </w:r>
    </w:p>
    <w:p w:rsidR="00800543" w:rsidRDefault="00800543" w:rsidP="00770127">
      <w:pPr>
        <w:spacing w:before="240" w:line="360" w:lineRule="auto"/>
        <w:ind w:left="41" w:right="-539"/>
        <w:rPr>
          <w:rFonts w:cs="David"/>
          <w:rtl/>
        </w:rPr>
      </w:pPr>
      <w:r>
        <w:rPr>
          <w:rFonts w:cs="David"/>
        </w:rPr>
        <w:t>E</w:t>
      </w:r>
      <w:r>
        <w:rPr>
          <w:rFonts w:cs="David"/>
          <w:rtl/>
        </w:rPr>
        <w:t>:</w:t>
      </w:r>
      <w:r>
        <w:rPr>
          <w:rFonts w:cs="David"/>
          <w:rtl/>
        </w:rPr>
        <w:tab/>
      </w:r>
      <w:r>
        <w:rPr>
          <w:rFonts w:cs="David" w:hint="cs"/>
          <w:rtl/>
        </w:rPr>
        <w:t xml:space="preserve">אוסטרליה, </w:t>
      </w:r>
      <w:r w:rsidR="00343662">
        <w:rPr>
          <w:rFonts w:cs="David"/>
          <w:rtl/>
        </w:rPr>
        <w:t xml:space="preserve">ארגנטינה, </w:t>
      </w:r>
      <w:r>
        <w:rPr>
          <w:rFonts w:cs="David" w:hint="cs"/>
          <w:rtl/>
        </w:rPr>
        <w:t xml:space="preserve">ברזיל, </w:t>
      </w:r>
      <w:r w:rsidR="000216F6">
        <w:rPr>
          <w:rFonts w:cs="David"/>
          <w:rtl/>
        </w:rPr>
        <w:t>דנמרק</w:t>
      </w:r>
      <w:bookmarkStart w:id="0" w:name="_GoBack"/>
      <w:bookmarkEnd w:id="0"/>
      <w:r w:rsidR="000216F6">
        <w:rPr>
          <w:rFonts w:cs="David"/>
          <w:rtl/>
        </w:rPr>
        <w:t xml:space="preserve">, </w:t>
      </w:r>
      <w:r>
        <w:rPr>
          <w:rFonts w:cs="David" w:hint="cs"/>
          <w:rtl/>
        </w:rPr>
        <w:t>סלובניה, סלובקיה, סרביה, צ'כיה, פינלנד, קוסטה ריקה</w:t>
      </w:r>
      <w:r>
        <w:rPr>
          <w:rFonts w:cs="David"/>
          <w:rtl/>
        </w:rPr>
        <w:t xml:space="preserve"> </w:t>
      </w:r>
    </w:p>
    <w:p w:rsidR="00800543" w:rsidRDefault="00800543" w:rsidP="00770127">
      <w:pPr>
        <w:spacing w:before="240" w:line="360" w:lineRule="auto"/>
        <w:ind w:left="41" w:right="-539"/>
        <w:rPr>
          <w:rFonts w:cs="David"/>
          <w:rtl/>
        </w:rPr>
      </w:pPr>
      <w:r>
        <w:rPr>
          <w:rFonts w:cs="David"/>
        </w:rPr>
        <w:t>F-1</w:t>
      </w:r>
      <w:r>
        <w:rPr>
          <w:rFonts w:cs="David"/>
          <w:rtl/>
        </w:rPr>
        <w:t xml:space="preserve">: </w:t>
      </w:r>
      <w:r>
        <w:rPr>
          <w:rFonts w:cs="David"/>
          <w:rtl/>
        </w:rPr>
        <w:tab/>
        <w:t>נורבגיה, ש</w:t>
      </w:r>
      <w:r>
        <w:rPr>
          <w:rFonts w:cs="David" w:hint="cs"/>
          <w:rtl/>
        </w:rPr>
        <w:t>וו</w:t>
      </w:r>
      <w:r>
        <w:rPr>
          <w:rFonts w:cs="David"/>
          <w:rtl/>
        </w:rPr>
        <w:t>דיה</w:t>
      </w:r>
    </w:p>
    <w:p w:rsidR="00800543" w:rsidRDefault="00800543" w:rsidP="00770127">
      <w:pPr>
        <w:spacing w:before="240" w:line="360" w:lineRule="auto"/>
        <w:ind w:left="41" w:right="-539"/>
        <w:rPr>
          <w:rFonts w:cs="David"/>
          <w:rtl/>
        </w:rPr>
      </w:pPr>
      <w:r>
        <w:rPr>
          <w:rFonts w:cs="David"/>
        </w:rPr>
        <w:t>F-2</w:t>
      </w:r>
      <w:r>
        <w:rPr>
          <w:rFonts w:cs="David"/>
          <w:rtl/>
        </w:rPr>
        <w:t>:</w:t>
      </w:r>
      <w:r>
        <w:rPr>
          <w:rFonts w:cs="David"/>
          <w:rtl/>
        </w:rPr>
        <w:tab/>
        <w:t>אוסטריה, אוסט</w:t>
      </w:r>
      <w:r>
        <w:rPr>
          <w:rFonts w:cs="David" w:hint="cs"/>
          <w:rtl/>
        </w:rPr>
        <w:t>ונ</w:t>
      </w:r>
      <w:r>
        <w:rPr>
          <w:rFonts w:cs="David"/>
          <w:rtl/>
        </w:rPr>
        <w:t xml:space="preserve">יה, </w:t>
      </w:r>
      <w:r>
        <w:rPr>
          <w:rFonts w:cs="David" w:hint="cs"/>
          <w:rtl/>
        </w:rPr>
        <w:t>הונגריה, לטביה, ליטא</w:t>
      </w:r>
    </w:p>
    <w:p w:rsidR="00800543" w:rsidRDefault="00800543" w:rsidP="000216F6">
      <w:pPr>
        <w:spacing w:before="240" w:line="360" w:lineRule="auto"/>
        <w:ind w:left="750" w:right="-539" w:hanging="709"/>
        <w:rPr>
          <w:rFonts w:cs="David"/>
          <w:rtl/>
        </w:rPr>
      </w:pPr>
      <w:r>
        <w:rPr>
          <w:rFonts w:cs="David"/>
        </w:rPr>
        <w:t>X</w:t>
      </w:r>
      <w:r>
        <w:rPr>
          <w:rFonts w:cs="David"/>
          <w:rtl/>
        </w:rPr>
        <w:t>:</w:t>
      </w:r>
      <w:r>
        <w:rPr>
          <w:rFonts w:cs="David"/>
          <w:rtl/>
        </w:rPr>
        <w:tab/>
      </w:r>
      <w:r>
        <w:rPr>
          <w:rFonts w:cs="David" w:hint="cs"/>
          <w:rtl/>
        </w:rPr>
        <w:t xml:space="preserve">אוקראינה, </w:t>
      </w:r>
      <w:r>
        <w:rPr>
          <w:rFonts w:cs="David"/>
          <w:rtl/>
        </w:rPr>
        <w:t xml:space="preserve">אורוגוואי, בוליביה, </w:t>
      </w:r>
      <w:r>
        <w:rPr>
          <w:rFonts w:cs="David" w:hint="cs"/>
          <w:rtl/>
        </w:rPr>
        <w:t xml:space="preserve">בוסניה, בלארוס, </w:t>
      </w:r>
      <w:r>
        <w:rPr>
          <w:rFonts w:cs="David"/>
          <w:rtl/>
        </w:rPr>
        <w:t xml:space="preserve">בלגיה, </w:t>
      </w:r>
      <w:r>
        <w:rPr>
          <w:rFonts w:cs="David" w:hint="cs"/>
          <w:rtl/>
        </w:rPr>
        <w:t xml:space="preserve">הולנד, יוון, </w:t>
      </w:r>
      <w:r>
        <w:rPr>
          <w:rFonts w:cs="David"/>
          <w:rtl/>
        </w:rPr>
        <w:t xml:space="preserve">לוקסמבורג, </w:t>
      </w:r>
      <w:r>
        <w:rPr>
          <w:rFonts w:cs="David" w:hint="cs"/>
          <w:rtl/>
        </w:rPr>
        <w:t xml:space="preserve">ניו זילנד, ספרד, </w:t>
      </w:r>
      <w:r>
        <w:rPr>
          <w:rFonts w:cs="David"/>
          <w:rtl/>
        </w:rPr>
        <w:t xml:space="preserve">פרגוואי, צ'ילה, </w:t>
      </w:r>
      <w:r>
        <w:rPr>
          <w:rFonts w:cs="David" w:hint="cs"/>
          <w:rtl/>
        </w:rPr>
        <w:t xml:space="preserve">צרפת, </w:t>
      </w:r>
      <w:r>
        <w:rPr>
          <w:rFonts w:cs="David"/>
          <w:rtl/>
        </w:rPr>
        <w:t>קולומביה, רוסיה</w:t>
      </w:r>
    </w:p>
    <w:p w:rsidR="00800543" w:rsidRDefault="00800543" w:rsidP="00770127">
      <w:pPr>
        <w:spacing w:line="360" w:lineRule="auto"/>
        <w:ind w:left="41" w:right="-540"/>
        <w:rPr>
          <w:rFonts w:cs="David"/>
          <w:rtl/>
        </w:rPr>
      </w:pPr>
      <w:r>
        <w:rPr>
          <w:rFonts w:cs="David"/>
          <w:rtl/>
        </w:rPr>
        <w:t> </w:t>
      </w:r>
    </w:p>
    <w:p w:rsidR="00800543" w:rsidRDefault="00800543" w:rsidP="00770127">
      <w:pPr>
        <w:spacing w:line="360" w:lineRule="auto"/>
        <w:ind w:left="41" w:right="-540"/>
        <w:rPr>
          <w:rFonts w:cs="David"/>
          <w:rtl/>
        </w:rPr>
      </w:pPr>
      <w:r>
        <w:rPr>
          <w:rFonts w:cs="David"/>
          <w:rtl/>
        </w:rPr>
        <w:t> </w:t>
      </w:r>
    </w:p>
    <w:p w:rsidR="001B45DE" w:rsidRPr="00A07FBE" w:rsidRDefault="00800543" w:rsidP="00A07FBE">
      <w:pPr>
        <w:spacing w:line="360" w:lineRule="auto"/>
        <w:ind w:left="41" w:right="-540"/>
        <w:rPr>
          <w:rFonts w:cs="David"/>
          <w:rtl/>
        </w:rPr>
      </w:pPr>
      <w:r>
        <w:rPr>
          <w:rFonts w:cs="David"/>
          <w:rtl/>
        </w:rPr>
        <w:t xml:space="preserve">* ציון זמני </w:t>
      </w:r>
      <w:r>
        <w:rPr>
          <w:rFonts w:cs="David" w:hint="cs"/>
          <w:rtl/>
        </w:rPr>
        <w:t xml:space="preserve">על-תנאי עד </w:t>
      </w:r>
      <w:r>
        <w:rPr>
          <w:rFonts w:cs="David"/>
          <w:rtl/>
        </w:rPr>
        <w:t xml:space="preserve">קבלת </w:t>
      </w:r>
      <w:r w:rsidR="003C23E2">
        <w:rPr>
          <w:rFonts w:cs="David" w:hint="cs"/>
          <w:rtl/>
        </w:rPr>
        <w:t>הסטטיסטיקה הרשמית</w:t>
      </w:r>
    </w:p>
    <w:p w:rsidR="00763FF6" w:rsidRDefault="00763FF6">
      <w:pPr>
        <w:bidi w:val="0"/>
        <w:rPr>
          <w:rtl/>
        </w:rPr>
      </w:pPr>
      <w:r>
        <w:rPr>
          <w:rtl/>
        </w:rPr>
        <w:br w:type="page"/>
      </w:r>
    </w:p>
    <w:p w:rsidR="0083267F" w:rsidRDefault="00763FF6" w:rsidP="00763FF6">
      <w:pPr>
        <w:jc w:val="center"/>
        <w:rPr>
          <w:b/>
          <w:bCs/>
          <w:u w:val="single"/>
          <w:rtl/>
        </w:rPr>
      </w:pPr>
      <w:r>
        <w:rPr>
          <w:rFonts w:hint="cs"/>
          <w:b/>
          <w:bCs/>
          <w:u w:val="single"/>
          <w:rtl/>
        </w:rPr>
        <w:lastRenderedPageBreak/>
        <w:t>רשימת הפושעים הנאצים המבוקשים ביותר</w:t>
      </w:r>
    </w:p>
    <w:p w:rsidR="00763FF6" w:rsidRDefault="00763FF6" w:rsidP="00763FF6">
      <w:pPr>
        <w:jc w:val="center"/>
        <w:rPr>
          <w:rtl/>
        </w:rPr>
      </w:pPr>
      <w:r>
        <w:rPr>
          <w:rFonts w:hint="cs"/>
          <w:rtl/>
        </w:rPr>
        <w:t>1 באפריל 2014</w:t>
      </w:r>
    </w:p>
    <w:p w:rsidR="00763FF6" w:rsidRDefault="00763FF6">
      <w:pPr>
        <w:rPr>
          <w:b/>
          <w:bCs/>
          <w:rtl/>
        </w:rPr>
      </w:pPr>
      <w:r>
        <w:rPr>
          <w:rFonts w:hint="cs"/>
          <w:b/>
          <w:bCs/>
          <w:rtl/>
        </w:rPr>
        <w:t>א. מי ששירת במחנות המוות</w:t>
      </w:r>
    </w:p>
    <w:p w:rsidR="00763FF6" w:rsidRDefault="00763FF6">
      <w:pPr>
        <w:rPr>
          <w:rtl/>
        </w:rPr>
      </w:pPr>
      <w:r>
        <w:rPr>
          <w:rFonts w:hint="cs"/>
          <w:rtl/>
        </w:rPr>
        <w:t xml:space="preserve">1. אוושויץ-בירקנאו </w:t>
      </w:r>
      <w:r>
        <w:rPr>
          <w:rtl/>
        </w:rPr>
        <w:t>–</w:t>
      </w:r>
      <w:r>
        <w:rPr>
          <w:rFonts w:hint="cs"/>
          <w:rtl/>
        </w:rPr>
        <w:t xml:space="preserve"> 1,300,000 קורבנות</w:t>
      </w:r>
    </w:p>
    <w:p w:rsidR="00763FF6" w:rsidRDefault="00763FF6">
      <w:pPr>
        <w:rPr>
          <w:rtl/>
        </w:rPr>
      </w:pPr>
      <w:r>
        <w:rPr>
          <w:rFonts w:hint="cs"/>
          <w:rtl/>
        </w:rPr>
        <w:t xml:space="preserve">2. טרבלינקה </w:t>
      </w:r>
      <w:r>
        <w:rPr>
          <w:rtl/>
        </w:rPr>
        <w:t>–</w:t>
      </w:r>
      <w:r>
        <w:rPr>
          <w:rFonts w:hint="cs"/>
          <w:rtl/>
        </w:rPr>
        <w:t xml:space="preserve"> 835,000 קורבנות</w:t>
      </w:r>
    </w:p>
    <w:p w:rsidR="00763FF6" w:rsidRDefault="00763FF6">
      <w:pPr>
        <w:rPr>
          <w:rtl/>
        </w:rPr>
      </w:pPr>
      <w:r>
        <w:rPr>
          <w:rFonts w:hint="cs"/>
          <w:rtl/>
        </w:rPr>
        <w:t xml:space="preserve">3. בלזץ </w:t>
      </w:r>
      <w:r>
        <w:rPr>
          <w:rtl/>
        </w:rPr>
        <w:t>–</w:t>
      </w:r>
      <w:r>
        <w:rPr>
          <w:rFonts w:hint="cs"/>
          <w:rtl/>
        </w:rPr>
        <w:t xml:space="preserve"> 600,000 קורבנות</w:t>
      </w:r>
    </w:p>
    <w:p w:rsidR="00763FF6" w:rsidRDefault="00763FF6" w:rsidP="00D332B5">
      <w:pPr>
        <w:rPr>
          <w:rtl/>
        </w:rPr>
      </w:pPr>
      <w:r>
        <w:rPr>
          <w:rFonts w:hint="cs"/>
          <w:rtl/>
        </w:rPr>
        <w:t>4. מ</w:t>
      </w:r>
      <w:r w:rsidR="00D332B5">
        <w:rPr>
          <w:rFonts w:hint="cs"/>
          <w:rtl/>
        </w:rPr>
        <w:t>יי</w:t>
      </w:r>
      <w:r>
        <w:rPr>
          <w:rFonts w:hint="cs"/>
          <w:rtl/>
        </w:rPr>
        <w:t xml:space="preserve">דנק </w:t>
      </w:r>
      <w:r>
        <w:rPr>
          <w:rtl/>
        </w:rPr>
        <w:t>–</w:t>
      </w:r>
      <w:r>
        <w:rPr>
          <w:rFonts w:hint="cs"/>
          <w:rtl/>
        </w:rPr>
        <w:t xml:space="preserve"> 360,000 קורבנות</w:t>
      </w:r>
    </w:p>
    <w:p w:rsidR="00763FF6" w:rsidRDefault="00763FF6">
      <w:pPr>
        <w:rPr>
          <w:rtl/>
        </w:rPr>
      </w:pPr>
      <w:r>
        <w:rPr>
          <w:rFonts w:hint="cs"/>
          <w:rtl/>
        </w:rPr>
        <w:t xml:space="preserve">5. חלמנו </w:t>
      </w:r>
      <w:r>
        <w:rPr>
          <w:rtl/>
        </w:rPr>
        <w:t>–</w:t>
      </w:r>
      <w:r>
        <w:rPr>
          <w:rFonts w:hint="cs"/>
          <w:rtl/>
        </w:rPr>
        <w:t xml:space="preserve"> 320,000 קורבנות</w:t>
      </w:r>
    </w:p>
    <w:p w:rsidR="00763FF6" w:rsidRDefault="00763FF6">
      <w:pPr>
        <w:rPr>
          <w:rtl/>
        </w:rPr>
      </w:pPr>
      <w:r>
        <w:rPr>
          <w:rFonts w:hint="cs"/>
          <w:rtl/>
        </w:rPr>
        <w:t xml:space="preserve">6. סוביבור </w:t>
      </w:r>
      <w:r>
        <w:rPr>
          <w:rtl/>
        </w:rPr>
        <w:t>–</w:t>
      </w:r>
      <w:r>
        <w:rPr>
          <w:rFonts w:hint="cs"/>
          <w:rtl/>
        </w:rPr>
        <w:t xml:space="preserve"> 250,000 קורבנות</w:t>
      </w:r>
    </w:p>
    <w:p w:rsidR="00763FF6" w:rsidRDefault="00763FF6">
      <w:pPr>
        <w:rPr>
          <w:rtl/>
        </w:rPr>
      </w:pPr>
    </w:p>
    <w:p w:rsidR="00763FF6" w:rsidRDefault="00763FF6">
      <w:pPr>
        <w:rPr>
          <w:rtl/>
        </w:rPr>
      </w:pPr>
      <w:r>
        <w:rPr>
          <w:rFonts w:hint="cs"/>
          <w:b/>
          <w:bCs/>
          <w:rtl/>
        </w:rPr>
        <w:t>ב. מי ששירת בעוצרות המבצע</w:t>
      </w:r>
    </w:p>
    <w:p w:rsidR="00763FF6" w:rsidRDefault="00763FF6">
      <w:pPr>
        <w:rPr>
          <w:rtl/>
        </w:rPr>
      </w:pPr>
      <w:r>
        <w:rPr>
          <w:rFonts w:hint="cs"/>
          <w:rtl/>
        </w:rPr>
        <w:t xml:space="preserve">איינזצגרופה </w:t>
      </w:r>
      <w:r>
        <w:t xml:space="preserve">A </w:t>
      </w:r>
      <w:r>
        <w:rPr>
          <w:rtl/>
        </w:rPr>
        <w:t>–</w:t>
      </w:r>
      <w:r>
        <w:rPr>
          <w:rFonts w:hint="cs"/>
          <w:rtl/>
        </w:rPr>
        <w:t xml:space="preserve"> פעל בעיקר בארצות הבלטיות </w:t>
      </w:r>
    </w:p>
    <w:p w:rsidR="00763FF6" w:rsidRDefault="00763FF6" w:rsidP="00763FF6">
      <w:pPr>
        <w:rPr>
          <w:rtl/>
        </w:rPr>
      </w:pPr>
      <w:r>
        <w:rPr>
          <w:rFonts w:hint="cs"/>
          <w:rtl/>
        </w:rPr>
        <w:t xml:space="preserve">איינזצגרופה </w:t>
      </w:r>
      <w:r>
        <w:t xml:space="preserve">B </w:t>
      </w:r>
      <w:r>
        <w:rPr>
          <w:rtl/>
        </w:rPr>
        <w:t>–</w:t>
      </w:r>
      <w:r>
        <w:rPr>
          <w:rFonts w:hint="cs"/>
          <w:rtl/>
        </w:rPr>
        <w:t xml:space="preserve"> פעל בעיקר בבלארוס</w:t>
      </w:r>
    </w:p>
    <w:p w:rsidR="00763FF6" w:rsidRDefault="00763FF6" w:rsidP="00763FF6">
      <w:pPr>
        <w:rPr>
          <w:rtl/>
        </w:rPr>
      </w:pPr>
      <w:r>
        <w:rPr>
          <w:rFonts w:hint="cs"/>
          <w:rtl/>
        </w:rPr>
        <w:t xml:space="preserve">איינזצגרופה </w:t>
      </w:r>
      <w:r>
        <w:t xml:space="preserve">C </w:t>
      </w:r>
      <w:r>
        <w:rPr>
          <w:rtl/>
        </w:rPr>
        <w:t>–</w:t>
      </w:r>
      <w:r>
        <w:rPr>
          <w:rFonts w:hint="cs"/>
          <w:rtl/>
        </w:rPr>
        <w:t xml:space="preserve"> פעל בעיקר בצפון אוקראינה</w:t>
      </w:r>
    </w:p>
    <w:p w:rsidR="00763FF6" w:rsidRDefault="00763FF6" w:rsidP="00763FF6">
      <w:pPr>
        <w:rPr>
          <w:rtl/>
        </w:rPr>
      </w:pPr>
      <w:r>
        <w:rPr>
          <w:rFonts w:hint="cs"/>
          <w:rtl/>
        </w:rPr>
        <w:t xml:space="preserve">איינזצגרופה </w:t>
      </w:r>
      <w:r>
        <w:t xml:space="preserve">D </w:t>
      </w:r>
      <w:r>
        <w:rPr>
          <w:rtl/>
        </w:rPr>
        <w:t>–</w:t>
      </w:r>
      <w:r>
        <w:rPr>
          <w:rFonts w:hint="cs"/>
          <w:rtl/>
        </w:rPr>
        <w:t xml:space="preserve"> פעל בעיקר בדרום אוקראינה</w:t>
      </w:r>
    </w:p>
    <w:p w:rsidR="00763FF6" w:rsidRDefault="00763FF6" w:rsidP="00763FF6">
      <w:pPr>
        <w:rPr>
          <w:rtl/>
        </w:rPr>
      </w:pPr>
    </w:p>
    <w:p w:rsidR="00763FF6" w:rsidRDefault="00763FF6" w:rsidP="00763FF6">
      <w:pPr>
        <w:rPr>
          <w:b/>
          <w:bCs/>
          <w:rtl/>
        </w:rPr>
      </w:pPr>
      <w:r>
        <w:rPr>
          <w:rFonts w:hint="cs"/>
          <w:b/>
          <w:bCs/>
          <w:rtl/>
        </w:rPr>
        <w:t>ג. שמונה מתוך אלה שהופיעו ברשימת המבוקשים בשנת 2013 עדיין בחיים</w:t>
      </w:r>
    </w:p>
    <w:p w:rsidR="00763FF6" w:rsidRDefault="00763FF6" w:rsidP="00763FF6">
      <w:pPr>
        <w:rPr>
          <w:rtl/>
        </w:rPr>
      </w:pPr>
      <w:r>
        <w:rPr>
          <w:rFonts w:hint="cs"/>
          <w:rtl/>
        </w:rPr>
        <w:t xml:space="preserve">2. גרהרד סומר </w:t>
      </w:r>
      <w:r>
        <w:rPr>
          <w:rtl/>
        </w:rPr>
        <w:t>–</w:t>
      </w:r>
      <w:r>
        <w:rPr>
          <w:rFonts w:hint="cs"/>
          <w:rtl/>
        </w:rPr>
        <w:t xml:space="preserve"> גרמניה</w:t>
      </w:r>
    </w:p>
    <w:p w:rsidR="00763FF6" w:rsidRDefault="00763FF6" w:rsidP="00763FF6">
      <w:pPr>
        <w:rPr>
          <w:rtl/>
        </w:rPr>
      </w:pPr>
      <w:r>
        <w:rPr>
          <w:rFonts w:hint="cs"/>
          <w:rtl/>
        </w:rPr>
        <w:t xml:space="preserve">3. ולדימיר קטריוק </w:t>
      </w:r>
      <w:r>
        <w:rPr>
          <w:rtl/>
        </w:rPr>
        <w:t>–</w:t>
      </w:r>
      <w:r>
        <w:rPr>
          <w:rFonts w:hint="cs"/>
          <w:rtl/>
        </w:rPr>
        <w:t xml:space="preserve"> קנדה</w:t>
      </w:r>
    </w:p>
    <w:p w:rsidR="00763FF6" w:rsidRDefault="00763FF6" w:rsidP="00763FF6">
      <w:pPr>
        <w:rPr>
          <w:rtl/>
        </w:rPr>
      </w:pPr>
      <w:r>
        <w:rPr>
          <w:rFonts w:hint="cs"/>
          <w:rtl/>
        </w:rPr>
        <w:t xml:space="preserve">4. האנס (אנטנס) ליפשיס </w:t>
      </w:r>
      <w:r>
        <w:rPr>
          <w:rtl/>
        </w:rPr>
        <w:t>–</w:t>
      </w:r>
      <w:r>
        <w:rPr>
          <w:rFonts w:hint="cs"/>
          <w:rtl/>
        </w:rPr>
        <w:t xml:space="preserve"> גרמניה</w:t>
      </w:r>
    </w:p>
    <w:p w:rsidR="00763FF6" w:rsidRDefault="00763FF6" w:rsidP="00D332B5">
      <w:pPr>
        <w:rPr>
          <w:rtl/>
        </w:rPr>
      </w:pPr>
      <w:r>
        <w:rPr>
          <w:rFonts w:hint="cs"/>
          <w:rtl/>
        </w:rPr>
        <w:t>5. איוון (ג'ון) קל</w:t>
      </w:r>
      <w:r w:rsidR="00D332B5">
        <w:rPr>
          <w:rFonts w:hint="cs"/>
          <w:rtl/>
        </w:rPr>
        <w:t>י</w:t>
      </w:r>
      <w:r>
        <w:rPr>
          <w:rFonts w:hint="cs"/>
          <w:rtl/>
        </w:rPr>
        <w:t>מ</w:t>
      </w:r>
      <w:r w:rsidR="00D332B5">
        <w:rPr>
          <w:rFonts w:hint="cs"/>
          <w:rtl/>
        </w:rPr>
        <w:t>ו</w:t>
      </w:r>
      <w:r>
        <w:rPr>
          <w:rFonts w:hint="cs"/>
          <w:rtl/>
        </w:rPr>
        <w:t xml:space="preserve">ן </w:t>
      </w:r>
      <w:r>
        <w:rPr>
          <w:rtl/>
        </w:rPr>
        <w:t>–</w:t>
      </w:r>
      <w:r>
        <w:rPr>
          <w:rFonts w:hint="cs"/>
          <w:rtl/>
        </w:rPr>
        <w:t xml:space="preserve"> ארה"ב</w:t>
      </w:r>
    </w:p>
    <w:p w:rsidR="00763FF6" w:rsidRDefault="00763FF6" w:rsidP="00763FF6">
      <w:pPr>
        <w:rPr>
          <w:rtl/>
        </w:rPr>
      </w:pPr>
      <w:r>
        <w:rPr>
          <w:rFonts w:hint="cs"/>
          <w:rtl/>
        </w:rPr>
        <w:t xml:space="preserve">6. סורן קאם </w:t>
      </w:r>
      <w:r>
        <w:rPr>
          <w:rtl/>
        </w:rPr>
        <w:t>–</w:t>
      </w:r>
      <w:r>
        <w:rPr>
          <w:rFonts w:hint="cs"/>
          <w:rtl/>
        </w:rPr>
        <w:t xml:space="preserve"> גרמניה</w:t>
      </w:r>
    </w:p>
    <w:p w:rsidR="00763FF6" w:rsidRDefault="00763FF6" w:rsidP="00763FF6">
      <w:pPr>
        <w:rPr>
          <w:rtl/>
        </w:rPr>
      </w:pPr>
      <w:r>
        <w:rPr>
          <w:rFonts w:hint="cs"/>
          <w:rtl/>
        </w:rPr>
        <w:t xml:space="preserve">7. אלגימנטס דאילידה </w:t>
      </w:r>
      <w:r>
        <w:rPr>
          <w:rtl/>
        </w:rPr>
        <w:t>–</w:t>
      </w:r>
      <w:r>
        <w:rPr>
          <w:rFonts w:hint="cs"/>
          <w:rtl/>
        </w:rPr>
        <w:t xml:space="preserve"> גרמניה</w:t>
      </w:r>
    </w:p>
    <w:p w:rsidR="00763FF6" w:rsidRDefault="00763FF6" w:rsidP="00763FF6">
      <w:pPr>
        <w:rPr>
          <w:rtl/>
        </w:rPr>
      </w:pPr>
      <w:r>
        <w:rPr>
          <w:rFonts w:hint="cs"/>
          <w:rtl/>
        </w:rPr>
        <w:t xml:space="preserve">9. תיאודור שחינסקי </w:t>
      </w:r>
      <w:r>
        <w:rPr>
          <w:rtl/>
        </w:rPr>
        <w:t>–</w:t>
      </w:r>
      <w:r>
        <w:rPr>
          <w:rFonts w:hint="cs"/>
          <w:rtl/>
        </w:rPr>
        <w:t xml:space="preserve"> ארה"ב</w:t>
      </w:r>
    </w:p>
    <w:p w:rsidR="00763FF6" w:rsidRDefault="00763FF6" w:rsidP="00763FF6">
      <w:pPr>
        <w:rPr>
          <w:rtl/>
        </w:rPr>
      </w:pPr>
      <w:r>
        <w:rPr>
          <w:rFonts w:hint="cs"/>
          <w:rtl/>
        </w:rPr>
        <w:t xml:space="preserve">10. הלמוט אוברלנדר </w:t>
      </w:r>
      <w:r>
        <w:rPr>
          <w:rtl/>
        </w:rPr>
        <w:t>–</w:t>
      </w:r>
      <w:r>
        <w:rPr>
          <w:rFonts w:hint="cs"/>
          <w:rtl/>
        </w:rPr>
        <w:t xml:space="preserve"> קנדה</w:t>
      </w:r>
    </w:p>
    <w:p w:rsidR="00763FF6" w:rsidRPr="00763FF6" w:rsidRDefault="00763FF6" w:rsidP="00D332B5">
      <w:pPr>
        <w:rPr>
          <w:rtl/>
        </w:rPr>
      </w:pPr>
      <w:r>
        <w:rPr>
          <w:rFonts w:hint="cs"/>
          <w:rtl/>
        </w:rPr>
        <w:t>בתקופה הנידונה ליפשיס (4) נעצר במאי 2013 וישב בכלא בשטוטגרט מספר חודשים, אך שוחרר מ</w:t>
      </w:r>
      <w:r w:rsidR="00D332B5">
        <w:rPr>
          <w:rFonts w:hint="cs"/>
          <w:rtl/>
        </w:rPr>
        <w:t>ס</w:t>
      </w:r>
      <w:r>
        <w:rPr>
          <w:rFonts w:hint="cs"/>
          <w:rtl/>
        </w:rPr>
        <w:t>יבות רפואיות. צ'טרי (1) וגורשקוב (8)</w:t>
      </w:r>
      <w:r w:rsidR="001360C2">
        <w:rPr>
          <w:rFonts w:hint="cs"/>
          <w:rtl/>
        </w:rPr>
        <w:t xml:space="preserve"> מתו במרוצת השנה האחרונה.</w:t>
      </w:r>
    </w:p>
    <w:sectPr w:rsidR="00763FF6" w:rsidRPr="00763FF6" w:rsidSect="00AF1F51">
      <w:footerReference w:type="default" r:id="rId11"/>
      <w:pgSz w:w="11906" w:h="16838"/>
      <w:pgMar w:top="1440" w:right="180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BE" w:rsidRDefault="00A07FBE" w:rsidP="00A07FBE">
      <w:pPr>
        <w:spacing w:after="0" w:line="240" w:lineRule="auto"/>
      </w:pPr>
      <w:r>
        <w:separator/>
      </w:r>
    </w:p>
  </w:endnote>
  <w:endnote w:type="continuationSeparator" w:id="0">
    <w:p w:rsidR="00A07FBE" w:rsidRDefault="00A07FBE" w:rsidP="00A0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6899533"/>
      <w:docPartObj>
        <w:docPartGallery w:val="Page Numbers (Bottom of Page)"/>
        <w:docPartUnique/>
      </w:docPartObj>
    </w:sdtPr>
    <w:sdtEndPr>
      <w:rPr>
        <w:noProof/>
      </w:rPr>
    </w:sdtEndPr>
    <w:sdtContent>
      <w:p w:rsidR="00A07FBE" w:rsidRDefault="00A07FBE">
        <w:pPr>
          <w:pStyle w:val="Footer"/>
          <w:jc w:val="center"/>
        </w:pPr>
        <w:r>
          <w:fldChar w:fldCharType="begin"/>
        </w:r>
        <w:r>
          <w:instrText xml:space="preserve"> PAGE   \* MERGEFORMAT </w:instrText>
        </w:r>
        <w:r>
          <w:fldChar w:fldCharType="separate"/>
        </w:r>
        <w:r w:rsidR="000216F6">
          <w:rPr>
            <w:noProof/>
            <w:rtl/>
          </w:rPr>
          <w:t>4</w:t>
        </w:r>
        <w:r>
          <w:rPr>
            <w:noProof/>
          </w:rPr>
          <w:fldChar w:fldCharType="end"/>
        </w:r>
      </w:p>
    </w:sdtContent>
  </w:sdt>
  <w:p w:rsidR="00A07FBE" w:rsidRDefault="00A07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BE" w:rsidRDefault="00A07FBE" w:rsidP="00A07FBE">
      <w:pPr>
        <w:spacing w:after="0" w:line="240" w:lineRule="auto"/>
      </w:pPr>
      <w:r>
        <w:separator/>
      </w:r>
    </w:p>
  </w:footnote>
  <w:footnote w:type="continuationSeparator" w:id="0">
    <w:p w:rsidR="00A07FBE" w:rsidRDefault="00A07FBE" w:rsidP="00A07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05"/>
    <w:rsid w:val="000216F6"/>
    <w:rsid w:val="001360C2"/>
    <w:rsid w:val="001B45DE"/>
    <w:rsid w:val="002779AD"/>
    <w:rsid w:val="00343662"/>
    <w:rsid w:val="003C23E2"/>
    <w:rsid w:val="00415085"/>
    <w:rsid w:val="0063362C"/>
    <w:rsid w:val="006E2905"/>
    <w:rsid w:val="00763FF6"/>
    <w:rsid w:val="00770127"/>
    <w:rsid w:val="00800543"/>
    <w:rsid w:val="0083267F"/>
    <w:rsid w:val="009C4CFF"/>
    <w:rsid w:val="00A07E82"/>
    <w:rsid w:val="00A07FBE"/>
    <w:rsid w:val="00AF1F51"/>
    <w:rsid w:val="00C84ADF"/>
    <w:rsid w:val="00CE6750"/>
    <w:rsid w:val="00D33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pPr>
      <w:bidi/>
    </w:pPr>
  </w:style>
  <w:style w:type="paragraph" w:styleId="Heading1">
    <w:name w:val="heading 1"/>
    <w:basedOn w:val="Normal"/>
    <w:next w:val="Normal"/>
    <w:link w:val="Heading1Char"/>
    <w:uiPriority w:val="9"/>
    <w:qFormat/>
    <w:rsid w:val="006E2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9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E2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E2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290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E2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905"/>
  </w:style>
  <w:style w:type="character" w:styleId="Hyperlink">
    <w:name w:val="Hyperlink"/>
    <w:basedOn w:val="DefaultParagraphFont"/>
    <w:uiPriority w:val="99"/>
    <w:unhideWhenUsed/>
    <w:rsid w:val="006E2905"/>
    <w:rPr>
      <w:color w:val="0000FF" w:themeColor="hyperlink"/>
      <w:u w:val="single"/>
    </w:rPr>
  </w:style>
  <w:style w:type="paragraph" w:styleId="BalloonText">
    <w:name w:val="Balloon Text"/>
    <w:basedOn w:val="Normal"/>
    <w:link w:val="BalloonTextChar"/>
    <w:uiPriority w:val="99"/>
    <w:semiHidden/>
    <w:unhideWhenUsed/>
    <w:rsid w:val="006E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05"/>
    <w:rPr>
      <w:rFonts w:ascii="Tahoma" w:hAnsi="Tahoma" w:cs="Tahoma"/>
      <w:sz w:val="16"/>
      <w:szCs w:val="16"/>
    </w:rPr>
  </w:style>
  <w:style w:type="paragraph" w:styleId="Footer">
    <w:name w:val="footer"/>
    <w:basedOn w:val="Normal"/>
    <w:link w:val="FooterChar"/>
    <w:uiPriority w:val="99"/>
    <w:unhideWhenUsed/>
    <w:rsid w:val="00A07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pPr>
      <w:bidi/>
    </w:pPr>
  </w:style>
  <w:style w:type="paragraph" w:styleId="Heading1">
    <w:name w:val="heading 1"/>
    <w:basedOn w:val="Normal"/>
    <w:next w:val="Normal"/>
    <w:link w:val="Heading1Char"/>
    <w:uiPriority w:val="9"/>
    <w:qFormat/>
    <w:rsid w:val="006E2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9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E2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E2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290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E2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905"/>
  </w:style>
  <w:style w:type="character" w:styleId="Hyperlink">
    <w:name w:val="Hyperlink"/>
    <w:basedOn w:val="DefaultParagraphFont"/>
    <w:uiPriority w:val="99"/>
    <w:unhideWhenUsed/>
    <w:rsid w:val="006E2905"/>
    <w:rPr>
      <w:color w:val="0000FF" w:themeColor="hyperlink"/>
      <w:u w:val="single"/>
    </w:rPr>
  </w:style>
  <w:style w:type="paragraph" w:styleId="BalloonText">
    <w:name w:val="Balloon Text"/>
    <w:basedOn w:val="Normal"/>
    <w:link w:val="BalloonTextChar"/>
    <w:uiPriority w:val="99"/>
    <w:semiHidden/>
    <w:unhideWhenUsed/>
    <w:rsid w:val="006E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05"/>
    <w:rPr>
      <w:rFonts w:ascii="Tahoma" w:hAnsi="Tahoma" w:cs="Tahoma"/>
      <w:sz w:val="16"/>
      <w:szCs w:val="16"/>
    </w:rPr>
  </w:style>
  <w:style w:type="paragraph" w:styleId="Footer">
    <w:name w:val="footer"/>
    <w:basedOn w:val="Normal"/>
    <w:link w:val="FooterChar"/>
    <w:uiPriority w:val="99"/>
    <w:unhideWhenUsed/>
    <w:rsid w:val="00A07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lastch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iesenthal.com/" TargetMode="External"/><Relationship Id="rId4" Type="http://schemas.openxmlformats.org/officeDocument/2006/relationships/webSettings" Target="webSettings.xml"/><Relationship Id="rId9" Type="http://schemas.openxmlformats.org/officeDocument/2006/relationships/hyperlink" Target="mailto:swcjerus@netvision.net.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1203</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2014-04-29T10:18:00Z</cp:lastPrinted>
  <dcterms:created xsi:type="dcterms:W3CDTF">2014-04-24T12:28:00Z</dcterms:created>
  <dcterms:modified xsi:type="dcterms:W3CDTF">2014-05-01T10:36:00Z</dcterms:modified>
</cp:coreProperties>
</file>