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5B" w:rsidRDefault="00C7505B">
      <w:pPr>
        <w:spacing w:line="360" w:lineRule="auto"/>
        <w:ind w:left="-1054" w:right="-540"/>
        <w:rPr>
          <w:rFonts w:cs="David"/>
          <w:rtl/>
        </w:rPr>
      </w:pPr>
      <w:bookmarkStart w:id="0" w:name="_GoBack"/>
      <w:bookmarkEnd w:id="0"/>
    </w:p>
    <w:p w:rsidR="00C7505B" w:rsidRDefault="00C7505B">
      <w:pPr>
        <w:spacing w:line="360" w:lineRule="auto"/>
        <w:ind w:left="-514" w:right="-540"/>
        <w:rPr>
          <w:rFonts w:cs="David"/>
          <w:rtl/>
        </w:rPr>
      </w:pPr>
    </w:p>
    <w:p w:rsidR="00C7505B" w:rsidRDefault="00C7505B">
      <w:pPr>
        <w:spacing w:line="340" w:lineRule="exact"/>
        <w:ind w:left="-874" w:right="-1620"/>
        <w:rPr>
          <w:rFonts w:cs="David"/>
        </w:rPr>
      </w:pPr>
      <w:r>
        <w:rPr>
          <w:rFonts w:cs="David"/>
          <w:rtl/>
        </w:rPr>
        <w:t> </w:t>
      </w:r>
    </w:p>
    <w:p w:rsidR="00C7505B" w:rsidRDefault="00C7505B">
      <w:pPr>
        <w:spacing w:line="340" w:lineRule="exact"/>
        <w:ind w:left="-874" w:right="-1620"/>
        <w:rPr>
          <w:rFonts w:cs="David"/>
          <w:rtl/>
        </w:rPr>
      </w:pPr>
      <w:r>
        <w:rPr>
          <w:rFonts w:cs="David"/>
          <w:rtl/>
        </w:rPr>
        <w:t> </w:t>
      </w:r>
    </w:p>
    <w:p w:rsidR="00C7505B" w:rsidRDefault="00C7505B">
      <w:pPr>
        <w:spacing w:line="340" w:lineRule="exact"/>
        <w:ind w:left="-874" w:right="-1620"/>
        <w:rPr>
          <w:rFonts w:cs="David"/>
          <w:rtl/>
        </w:rPr>
      </w:pPr>
      <w:r>
        <w:rPr>
          <w:rFonts w:cs="David"/>
          <w:rtl/>
        </w:rPr>
        <w:t> </w:t>
      </w:r>
    </w:p>
    <w:p w:rsidR="00C7505B" w:rsidRDefault="00C7505B">
      <w:pPr>
        <w:spacing w:line="340" w:lineRule="exact"/>
        <w:ind w:left="-874" w:right="-1620"/>
        <w:rPr>
          <w:rFonts w:cs="David"/>
          <w:rtl/>
        </w:rPr>
      </w:pPr>
      <w:r>
        <w:rPr>
          <w:rFonts w:cs="David"/>
          <w:rtl/>
        </w:rPr>
        <w:t> </w:t>
      </w:r>
    </w:p>
    <w:p w:rsidR="00C7505B" w:rsidRDefault="00C7505B">
      <w:pPr>
        <w:spacing w:line="340" w:lineRule="exact"/>
        <w:ind w:left="-874" w:right="-1620"/>
        <w:rPr>
          <w:rFonts w:cs="David"/>
          <w:rtl/>
        </w:rPr>
      </w:pPr>
      <w:r>
        <w:rPr>
          <w:rFonts w:cs="David"/>
          <w:rtl/>
        </w:rPr>
        <w:t> </w:t>
      </w:r>
    </w:p>
    <w:p w:rsidR="00C7505B" w:rsidRDefault="00C7505B">
      <w:pPr>
        <w:spacing w:line="340" w:lineRule="exact"/>
        <w:ind w:left="-874" w:right="-1620"/>
        <w:rPr>
          <w:rFonts w:cs="David"/>
          <w:rtl/>
        </w:rPr>
      </w:pPr>
      <w:r>
        <w:rPr>
          <w:rFonts w:cs="David"/>
          <w:rtl/>
        </w:rPr>
        <w:t> </w:t>
      </w:r>
    </w:p>
    <w:p w:rsidR="00C7505B" w:rsidRDefault="00C7505B" w:rsidP="0033425A">
      <w:pPr>
        <w:bidi w:val="0"/>
        <w:spacing w:line="360" w:lineRule="auto"/>
        <w:ind w:left="-874" w:right="-1080"/>
        <w:jc w:val="right"/>
        <w:rPr>
          <w:rFonts w:cs="David"/>
          <w:rtl/>
        </w:rPr>
      </w:pPr>
      <w:r>
        <w:rPr>
          <w:rFonts w:cs="David"/>
          <w:rtl/>
        </w:rPr>
        <w:t>06.2-13</w:t>
      </w:r>
    </w:p>
    <w:p w:rsidR="00C7505B" w:rsidRDefault="00C7505B" w:rsidP="0033425A">
      <w:pPr>
        <w:spacing w:line="360" w:lineRule="auto"/>
        <w:ind w:left="6326" w:right="-1080"/>
        <w:rPr>
          <w:rFonts w:cs="David"/>
        </w:rPr>
      </w:pPr>
      <w:r>
        <w:rPr>
          <w:rFonts w:cs="David"/>
          <w:rtl/>
        </w:rPr>
        <w:t xml:space="preserve">כ"ז ניסן תשע''ג//7 באפריל 2013 </w:t>
      </w:r>
      <w:r>
        <w:rPr>
          <w:rtl/>
        </w:rPr>
        <w:t xml:space="preserve"> </w:t>
      </w:r>
    </w:p>
    <w:p w:rsidR="00C7505B" w:rsidRDefault="00C7505B">
      <w:pPr>
        <w:spacing w:line="360" w:lineRule="auto"/>
        <w:ind w:left="-874" w:right="-1080"/>
        <w:jc w:val="center"/>
        <w:rPr>
          <w:rFonts w:cs="David"/>
          <w:b/>
          <w:bCs/>
          <w:sz w:val="28"/>
          <w:szCs w:val="28"/>
          <w:u w:val="single"/>
          <w:rtl/>
        </w:rPr>
      </w:pPr>
      <w:r>
        <w:rPr>
          <w:rFonts w:cs="David"/>
          <w:b/>
          <w:bCs/>
          <w:sz w:val="28"/>
          <w:szCs w:val="28"/>
          <w:rtl/>
        </w:rPr>
        <w:t> </w:t>
      </w:r>
    </w:p>
    <w:p w:rsidR="00C7505B" w:rsidRDefault="00C7505B" w:rsidP="00530393">
      <w:pPr>
        <w:spacing w:line="360" w:lineRule="auto"/>
        <w:ind w:left="-874" w:right="-1080"/>
        <w:jc w:val="center"/>
        <w:rPr>
          <w:rFonts w:cs="David"/>
          <w:b/>
          <w:bCs/>
          <w:sz w:val="32"/>
          <w:szCs w:val="32"/>
          <w:u w:val="single"/>
          <w:rtl/>
        </w:rPr>
      </w:pPr>
      <w:r>
        <w:rPr>
          <w:rFonts w:cs="David"/>
          <w:b/>
          <w:bCs/>
          <w:sz w:val="32"/>
          <w:szCs w:val="32"/>
          <w:u w:val="single"/>
          <w:rtl/>
        </w:rPr>
        <w:t>הדו"ח השנתי של מרכז שמעון ויזנטל מצביע על הישגים חשובים אך מוגבלים שהושגו בהונגריה וקנדה במרדף אחר פושעי מלחמה נאצים;</w:t>
      </w:r>
    </w:p>
    <w:p w:rsidR="00C7505B" w:rsidRDefault="00C7505B" w:rsidP="00530393">
      <w:pPr>
        <w:spacing w:line="360" w:lineRule="auto"/>
        <w:ind w:left="-874" w:right="-1080"/>
        <w:jc w:val="center"/>
        <w:rPr>
          <w:rFonts w:cs="David"/>
          <w:b/>
          <w:bCs/>
          <w:sz w:val="32"/>
          <w:szCs w:val="32"/>
          <w:u w:val="single"/>
          <w:rtl/>
        </w:rPr>
      </w:pPr>
      <w:r>
        <w:rPr>
          <w:rFonts w:cs="David"/>
          <w:b/>
          <w:bCs/>
          <w:sz w:val="32"/>
          <w:szCs w:val="32"/>
          <w:u w:val="single"/>
          <w:rtl/>
        </w:rPr>
        <w:t>שני שמות חדשים ברשימת 10 הפושעים המבוקשים ביותר</w:t>
      </w:r>
    </w:p>
    <w:p w:rsidR="00C7505B" w:rsidRDefault="00C7505B">
      <w:pPr>
        <w:spacing w:line="360" w:lineRule="auto"/>
        <w:ind w:left="-1236" w:right="-1440"/>
        <w:rPr>
          <w:rFonts w:cs="David"/>
          <w:rtl/>
        </w:rPr>
      </w:pPr>
      <w:r>
        <w:rPr>
          <w:rFonts w:cs="David"/>
          <w:rtl/>
        </w:rPr>
        <w:t> </w:t>
      </w:r>
    </w:p>
    <w:p w:rsidR="00C7505B" w:rsidRDefault="00C7505B" w:rsidP="00BB7B4F">
      <w:pPr>
        <w:spacing w:line="360" w:lineRule="auto"/>
        <w:ind w:left="-874" w:right="-1080"/>
        <w:rPr>
          <w:rFonts w:cs="David"/>
          <w:rtl/>
        </w:rPr>
      </w:pPr>
      <w:r>
        <w:rPr>
          <w:rFonts w:cs="David"/>
          <w:rtl/>
        </w:rPr>
        <w:t xml:space="preserve">ירושלים - מרכז שמעון ויזנטל חושף היום את ממצאיו העיקריים של הדו"ח  השנתי השנים-עשר על מצב החקירות וההעמדה לדין של פושעי מלחמה נאצים ברחבי העולם, המתייחס לתקופה שבין 1 באפריל 2012 ל-31 במרץ 2013 ומעניק ציונים הנעים בין </w:t>
      </w:r>
      <w:r>
        <w:rPr>
          <w:rFonts w:cs="David"/>
        </w:rPr>
        <w:t>A</w:t>
      </w:r>
      <w:r>
        <w:rPr>
          <w:rFonts w:cs="David"/>
          <w:rtl/>
        </w:rPr>
        <w:t xml:space="preserve"> (הגבוה ביותר) ל-</w:t>
      </w:r>
      <w:r>
        <w:rPr>
          <w:rFonts w:cs="David"/>
        </w:rPr>
        <w:t>F</w:t>
      </w:r>
      <w:r>
        <w:rPr>
          <w:rFonts w:cs="David"/>
          <w:rtl/>
        </w:rPr>
        <w:t xml:space="preserve"> שמבטאים את המאמצים והתוצאות שהושגו על ידי למעלה משלושים מדינות בהן בוצעו פשעים נאצים או שהתירו את כניסתם פושעים כאלה לאחר מלחמת העולם השנייה. </w:t>
      </w:r>
    </w:p>
    <w:p w:rsidR="00C7505B" w:rsidRDefault="00C7505B">
      <w:pPr>
        <w:spacing w:line="360" w:lineRule="auto"/>
        <w:ind w:left="-874" w:right="-1080"/>
        <w:rPr>
          <w:rFonts w:cs="David"/>
          <w:rtl/>
        </w:rPr>
      </w:pPr>
      <w:r>
        <w:rPr>
          <w:rFonts w:cs="David"/>
          <w:rtl/>
        </w:rPr>
        <w:t> </w:t>
      </w:r>
    </w:p>
    <w:p w:rsidR="00C7505B" w:rsidRDefault="00C7505B">
      <w:pPr>
        <w:spacing w:line="360" w:lineRule="auto"/>
        <w:ind w:left="-874" w:right="-1080"/>
        <w:rPr>
          <w:rFonts w:cs="David"/>
          <w:rtl/>
        </w:rPr>
      </w:pPr>
      <w:r>
        <w:rPr>
          <w:rFonts w:cs="David"/>
          <w:rtl/>
        </w:rPr>
        <w:t xml:space="preserve">הדו"ח מצביע על ההתפתחויות החשובות הבאות: </w:t>
      </w:r>
    </w:p>
    <w:p w:rsidR="00C7505B" w:rsidRDefault="00C7505B">
      <w:pPr>
        <w:spacing w:line="360" w:lineRule="auto"/>
        <w:ind w:left="-874" w:right="-1080"/>
        <w:rPr>
          <w:rFonts w:cs="David"/>
          <w:rtl/>
        </w:rPr>
      </w:pPr>
      <w:r>
        <w:rPr>
          <w:rFonts w:cs="David"/>
          <w:rtl/>
        </w:rPr>
        <w:t> </w:t>
      </w:r>
    </w:p>
    <w:p w:rsidR="00C7505B" w:rsidRDefault="00C7505B" w:rsidP="00BB7B4F">
      <w:pPr>
        <w:numPr>
          <w:ilvl w:val="0"/>
          <w:numId w:val="15"/>
        </w:numPr>
        <w:tabs>
          <w:tab w:val="clear" w:pos="-3"/>
        </w:tabs>
        <w:spacing w:line="360" w:lineRule="auto"/>
        <w:ind w:left="-514" w:right="-1077" w:hanging="359"/>
        <w:rPr>
          <w:rFonts w:cs="David"/>
        </w:rPr>
      </w:pPr>
      <w:r>
        <w:rPr>
          <w:rFonts w:cs="David"/>
          <w:rtl/>
        </w:rPr>
        <w:t>התוצאה החיובית החשובה ביותר שהושגה במקרה מסוים במהלך התקופה הנסקרת היתה הגשת כתב אישום נגד מפקד גטו קושיצה (בסלובקיה הכבושה ע"י הונגריה) לשעבר,</w:t>
      </w:r>
      <w:r w:rsidRPr="00D96B09">
        <w:rPr>
          <w:rFonts w:cs="David"/>
          <w:rtl/>
        </w:rPr>
        <w:t xml:space="preserve"> </w:t>
      </w:r>
      <w:r>
        <w:rPr>
          <w:rFonts w:cs="David"/>
          <w:rtl/>
        </w:rPr>
        <w:t xml:space="preserve">לאסלו צ'אטארי, ביולי 2012 בשל חלקו בגרוש ההמוני של בערך 15,700 יהודים למחנה המוות אושוויץ באביב 1944. צ'אטארי, שנדון למוות בהעדרו בצ'כוסלובקיה ב 1948, נמלט לקנדה, שם נשללה ממנו אזרחותו הקנדית כמעט חמישים שנה מאוחר יותר משום שהסתיר את חלקו ברדיפת יהודים בתקופת המלחמה. צ'אטארי עזב את קנדה מרצונו ומאז נעלמו עקבותיו עד שהתגלה על ידי מרכז ויזנטל בבודפשט. ב-17 ביולי, 2012 הוגש נגדו כתב אישום, הוא נכלא במעצר בית, דרכונו נשלל ממנו, והוא ממתין להעמדתו לדין. </w:t>
      </w:r>
    </w:p>
    <w:p w:rsidR="00C7505B" w:rsidRDefault="00C7505B">
      <w:pPr>
        <w:spacing w:line="360" w:lineRule="auto"/>
        <w:ind w:left="-873" w:right="-1077"/>
        <w:rPr>
          <w:rFonts w:cs="David"/>
          <w:rtl/>
        </w:rPr>
      </w:pPr>
    </w:p>
    <w:p w:rsidR="00C7505B" w:rsidRDefault="00C7505B" w:rsidP="00BB7B4F">
      <w:pPr>
        <w:numPr>
          <w:ilvl w:val="0"/>
          <w:numId w:val="11"/>
        </w:numPr>
        <w:spacing w:line="360" w:lineRule="auto"/>
        <w:ind w:right="-1077"/>
        <w:rPr>
          <w:rFonts w:cs="David"/>
        </w:rPr>
      </w:pPr>
      <w:r>
        <w:rPr>
          <w:rFonts w:cs="David"/>
          <w:rtl/>
        </w:rPr>
        <w:t xml:space="preserve">שני  השמות החדשים שנכנסו לרשימת "המבוקשים ביותר" של מרכז ויזנטל הם של אנשי יחידת גולגלות המוות -  אנשי הס.ס. הנס (אנטאנאס) ליפשיס ותיאודור שחינסקי, שניהם נמלטו לארה"ב אחרי מלחמת העולם השניה. בעוד שהראשון הוסגר לגרמניה , בה הוא נחקר כעת, השני היה צריך להיות מגורש לפני עשור  מארה"ב. עד היום שום מדינה לא מוכנה לקבלו. שמות אלה מחליפים את קלאס פאבר (#2), שמת לפני שעמד להישלח לכלא בגין פשעיו, וקארולי (צ'ארלס) זנטאי (#5), שהסגרתו להונגריה כדי לעמוד לדין על רצח נאסרה על ידי שלטונות אוסטרליה. </w:t>
      </w:r>
    </w:p>
    <w:p w:rsidR="00C7505B" w:rsidRDefault="00C7505B" w:rsidP="007E02B3">
      <w:pPr>
        <w:spacing w:line="360" w:lineRule="auto"/>
        <w:ind w:right="-513"/>
        <w:rPr>
          <w:rFonts w:cs="David"/>
        </w:rPr>
      </w:pPr>
    </w:p>
    <w:p w:rsidR="00C7505B" w:rsidRPr="00C1704E" w:rsidRDefault="00C7505B" w:rsidP="00600D1D">
      <w:pPr>
        <w:numPr>
          <w:ilvl w:val="0"/>
          <w:numId w:val="11"/>
        </w:numPr>
        <w:spacing w:line="360" w:lineRule="auto"/>
        <w:ind w:right="-1077"/>
        <w:rPr>
          <w:rFonts w:cs="David"/>
        </w:rPr>
      </w:pPr>
      <w:r w:rsidRPr="00C1704E">
        <w:rPr>
          <w:rFonts w:cs="David"/>
          <w:rtl/>
        </w:rPr>
        <w:t>התוצאה המאכזבת ביותר במקרה כלשהו במהלך התקופה הנסקרת הייתה החלטת בית המשפט העליון באוסטרליה לדחות את בקשת ההסגרה של הונגריה לגבי זנטאי, שהואשם ברצח פטר באלא</w:t>
      </w:r>
      <w:r>
        <w:rPr>
          <w:rFonts w:cs="David"/>
          <w:rtl/>
        </w:rPr>
        <w:t>ש</w:t>
      </w:r>
      <w:r w:rsidRPr="00C1704E">
        <w:rPr>
          <w:rFonts w:cs="David"/>
          <w:rtl/>
        </w:rPr>
        <w:t xml:space="preserve"> בן ה-18 בנובמבר 1944 בעת שנתפס על ידו בחשמלית כשאינו עונד כוכב צהוב כנדרש לגבי היהודים. (כמו כן הוא חשוד בציד יהודים ברחובות בודפשט</w:t>
      </w:r>
      <w:r w:rsidRPr="00C1704E">
        <w:rPr>
          <w:rFonts w:cs="David"/>
          <w:rtl/>
        </w:rPr>
        <w:br/>
        <w:t>ב-1944 בעת שהתחזו</w:t>
      </w:r>
      <w:r>
        <w:rPr>
          <w:rFonts w:cs="David"/>
          <w:rtl/>
        </w:rPr>
        <w:t xml:space="preserve"> </w:t>
      </w:r>
      <w:r w:rsidRPr="00C1704E">
        <w:rPr>
          <w:rFonts w:cs="David"/>
          <w:rtl/>
        </w:rPr>
        <w:t xml:space="preserve">ללא-יהודים.) בית המשפט העליון באוסטרליה פסק  ב 15 באוגוסט, 2012 שאין להסגיר את זנטאי להונגריה  מכיוון שדרישת ההסגרה מבוססת על האשמה של "פשעי מלחמה", קטגוריה שלא היתה קיימת בעת ההיא בחוק ההונגרי. פרוש זה מתעלם מחקיקת הגדרות משפטיות חדשות לאחר המלחמה, שנוצרו במיוחד כדי להתמודד עם הזוועות חסרות התקדים שבוצעו על ידי הנאצים ועוזריהם במהלך מלח"הע השניה. הגדרות אלה היו הבסיס להרשעת הנאשמים במשפטי נירנברג ובהליכים משפטיים אחרים נגד פושעי מלחמה נאצים.   </w:t>
      </w:r>
    </w:p>
    <w:p w:rsidR="00C7505B" w:rsidRDefault="00C7505B">
      <w:pPr>
        <w:spacing w:line="360" w:lineRule="auto"/>
        <w:ind w:right="-1077"/>
        <w:rPr>
          <w:rFonts w:cs="David"/>
          <w:rtl/>
        </w:rPr>
      </w:pPr>
    </w:p>
    <w:p w:rsidR="00C7505B" w:rsidRDefault="00C7505B" w:rsidP="00600D1D">
      <w:pPr>
        <w:spacing w:line="360" w:lineRule="auto"/>
        <w:ind w:left="-513" w:right="-1077" w:hanging="361"/>
        <w:rPr>
          <w:rFonts w:cs="David"/>
          <w:rtl/>
        </w:rPr>
      </w:pPr>
      <w:r>
        <w:rPr>
          <w:rFonts w:cs="David"/>
          <w:rtl/>
        </w:rPr>
        <w:t>4.</w:t>
      </w:r>
      <w:r>
        <w:rPr>
          <w:rFonts w:cs="David"/>
          <w:rtl/>
        </w:rPr>
        <w:tab/>
        <w:t xml:space="preserve">המכשול העיקרי בדרך לניצחון הצדק, בעיקר בארצות מזרח אירופה, הוא חוסר הרצון הפוליטי להעמיד פושעי מלחמה נאצים לדין ו/או להענישם. המכשול הנוסף הוא שהארצות הבלטיות מנהלות מסע מתוזמר במטרה לשכתב  את  היסטוריית השואה כדי להעלים את חלקן בפשעים נגד היהודים ולהשיג הכרה רשמית בכך שפשעי הקומוניזם שווים לפשעי הנאציזם, וכך נערם עוד מכשול שמקשה על העמדתם לדין של אלה האחראים לפשעי השואה. </w:t>
      </w:r>
    </w:p>
    <w:p w:rsidR="00C7505B" w:rsidRDefault="00C7505B">
      <w:pPr>
        <w:spacing w:line="360" w:lineRule="auto"/>
        <w:ind w:right="-1077"/>
        <w:rPr>
          <w:rFonts w:cs="David"/>
          <w:rtl/>
        </w:rPr>
      </w:pPr>
    </w:p>
    <w:p w:rsidR="00C7505B" w:rsidRDefault="00C7505B" w:rsidP="00A47C89">
      <w:pPr>
        <w:spacing w:line="360" w:lineRule="auto"/>
        <w:ind w:left="-874" w:right="-1080"/>
        <w:rPr>
          <w:rFonts w:cs="David"/>
          <w:rtl/>
        </w:rPr>
      </w:pPr>
      <w:r>
        <w:rPr>
          <w:rFonts w:cs="David"/>
          <w:rtl/>
        </w:rPr>
        <w:t xml:space="preserve">מחבר הדו"ח, מנהל מרכז ויזנטל בישראל דר' אפרים זורוף, שמרכז את המאמצים לאתר ולסייע בהעמדה לדין של פושעים נאצים בעולם, הדגיש שהמספרים בדו"ח מצביעים בברור שניתן עדיין להשיג דין צדק כנגד פושעים נאצים. "בשתים עשרה השנים האחרונות הושגו הרשעות בלפחות תשעים ותשעה משפטים של פושעים נאצים, הוגשו לפחות שמונים ותשעה כתבי-אישום חדשים ונפתחו למעלה משלושת אלפים חקירות חדשות. למרות ההנחה הרווחת שכבר מאוחר מדי להעמיד פושעים נאצים לדין, המספרים מוכיחים אחרת, ואנו מנסים להבטיח שבשנים הקרובות יובאו לדין לפחות חלק מאותם מקרים. קיימת הנחה שגילם המבוגר של הפושעים מונע את הבאתם לדין, אך המכשול  העיקרי הוא חוסר רצון פוליטי בצרוף הדעה השגויה שכבר בלתי אפשרי בשלב זה  לאתר, לזהות, ולהרשיע פושעים אלה. ההצלחה שהושגה על ידי תובעים מסורים לעניין, בייחוד בארה"ב,  איטליה וגרמניה צריכה להוכיח לממשלות בכל העולם שעליהן להשקיע מאמץ גדול יותר כשעוד ניתן להשיג קורטוב של צדק." </w:t>
      </w:r>
    </w:p>
    <w:p w:rsidR="00C7505B" w:rsidRDefault="00C7505B">
      <w:pPr>
        <w:spacing w:line="360" w:lineRule="auto"/>
        <w:ind w:left="-874" w:right="-1080"/>
        <w:rPr>
          <w:rFonts w:cs="David"/>
          <w:rtl/>
        </w:rPr>
      </w:pPr>
      <w:r>
        <w:rPr>
          <w:rFonts w:cs="David"/>
          <w:rtl/>
        </w:rPr>
        <w:t> </w:t>
      </w:r>
    </w:p>
    <w:p w:rsidR="00C7505B" w:rsidRDefault="00C7505B" w:rsidP="008F5D6B">
      <w:pPr>
        <w:spacing w:line="360" w:lineRule="auto"/>
        <w:ind w:left="-874" w:right="-1080"/>
        <w:rPr>
          <w:rFonts w:cs="David"/>
          <w:rtl/>
        </w:rPr>
      </w:pPr>
      <w:r>
        <w:rPr>
          <w:rFonts w:cs="David"/>
          <w:rtl/>
        </w:rPr>
        <w:t xml:space="preserve">זורוף מסביר שמטרת הדו"ח למקד את תשומת לב הציבור בנושא זה וכך לעודד את הממשלות הנוגעות בדבר להגביר את מאמציהן ולהבטיח שפושעים רבים ככל האפשר שטרם הורשעו ישלמו על פשעיהם. במובן זה, אנו מבקשים להדגיש את התוצאות הטובות שהושגו בתקופה הנסקרת ע"י מדינות כהונגריה וקנדה, ומולן את הכישלון של ליטא, לטביה, אסטוניה ואוקראינה שאינן מצליחות, בעקביות, להעניש את מבצעי השואה, בעיקר בשל חוסר הרצון הפוליטי הנחוץ וכן את שבדיה ונורבגיה שמסרבות באופן עקרוני לחקור ולשפוט אותם בשל חוקי התיישנות." </w:t>
      </w:r>
    </w:p>
    <w:p w:rsidR="00C7505B" w:rsidRDefault="00C7505B">
      <w:pPr>
        <w:spacing w:line="340" w:lineRule="exact"/>
        <w:ind w:left="-873" w:right="-1622"/>
        <w:rPr>
          <w:rFonts w:cs="David"/>
          <w:b/>
          <w:bCs/>
          <w:sz w:val="28"/>
          <w:szCs w:val="28"/>
          <w:rtl/>
        </w:rPr>
      </w:pPr>
      <w:r>
        <w:rPr>
          <w:rFonts w:cs="David"/>
          <w:b/>
          <w:bCs/>
          <w:sz w:val="28"/>
          <w:szCs w:val="28"/>
          <w:rtl/>
        </w:rPr>
        <w:t> </w:t>
      </w:r>
    </w:p>
    <w:p w:rsidR="00C7505B" w:rsidRDefault="00C7505B">
      <w:pPr>
        <w:spacing w:line="340" w:lineRule="exact"/>
        <w:ind w:left="-873" w:right="-1622"/>
        <w:rPr>
          <w:rFonts w:cs="David"/>
          <w:b/>
          <w:bCs/>
          <w:sz w:val="28"/>
          <w:szCs w:val="28"/>
          <w:rtl/>
        </w:rPr>
      </w:pPr>
      <w:r>
        <w:rPr>
          <w:rFonts w:cs="David"/>
          <w:b/>
          <w:bCs/>
          <w:sz w:val="28"/>
          <w:szCs w:val="28"/>
          <w:rtl/>
        </w:rPr>
        <w:t> </w:t>
      </w:r>
    </w:p>
    <w:p w:rsidR="00C7505B" w:rsidRDefault="00C7505B">
      <w:pPr>
        <w:spacing w:line="340" w:lineRule="exact"/>
        <w:ind w:left="-873" w:right="-1622"/>
        <w:rPr>
          <w:rFonts w:cs="David"/>
          <w:b/>
          <w:bCs/>
          <w:sz w:val="28"/>
          <w:szCs w:val="28"/>
          <w:rtl/>
        </w:rPr>
      </w:pPr>
      <w:r>
        <w:rPr>
          <w:rFonts w:cs="David"/>
          <w:b/>
          <w:bCs/>
          <w:sz w:val="28"/>
          <w:szCs w:val="28"/>
          <w:rtl/>
        </w:rPr>
        <w:t xml:space="preserve">למידע נוסף בבקשה להתקשר למשרדנו: 5631273-02  או  721-4156-050 </w:t>
      </w:r>
    </w:p>
    <w:p w:rsidR="00C7505B" w:rsidRDefault="00C7505B">
      <w:pPr>
        <w:spacing w:line="340" w:lineRule="exact"/>
        <w:ind w:left="-873" w:right="-1622"/>
        <w:rPr>
          <w:rFonts w:cs="David"/>
          <w:b/>
          <w:bCs/>
          <w:sz w:val="28"/>
          <w:szCs w:val="28"/>
          <w:rtl/>
        </w:rPr>
      </w:pPr>
      <w:r>
        <w:rPr>
          <w:rFonts w:cs="David"/>
          <w:b/>
          <w:bCs/>
          <w:sz w:val="28"/>
          <w:szCs w:val="28"/>
          <w:rtl/>
        </w:rPr>
        <w:t xml:space="preserve">וכן בקרו באתרינו באינטרנט:  </w:t>
      </w:r>
      <w:hyperlink r:id="rId5" w:history="1">
        <w:r>
          <w:rPr>
            <w:rStyle w:val="Hyperlink"/>
            <w:rFonts w:cs="David"/>
            <w:b/>
            <w:bCs/>
            <w:color w:val="auto"/>
            <w:sz w:val="28"/>
            <w:szCs w:val="28"/>
          </w:rPr>
          <w:t>www.operationlastchance.org</w:t>
        </w:r>
      </w:hyperlink>
      <w:r>
        <w:rPr>
          <w:rFonts w:cs="David"/>
          <w:b/>
          <w:bCs/>
          <w:sz w:val="28"/>
          <w:szCs w:val="28"/>
          <w:rtl/>
        </w:rPr>
        <w:t xml:space="preserve">      </w:t>
      </w:r>
      <w:hyperlink r:id="rId6" w:history="1">
        <w:r>
          <w:rPr>
            <w:rStyle w:val="Hyperlink"/>
            <w:rFonts w:cs="David"/>
            <w:b/>
            <w:bCs/>
            <w:color w:val="auto"/>
            <w:sz w:val="28"/>
            <w:szCs w:val="28"/>
          </w:rPr>
          <w:t>www.wiesenthal.com</w:t>
        </w:r>
      </w:hyperlink>
    </w:p>
    <w:p w:rsidR="00C7505B" w:rsidRDefault="00C7505B">
      <w:pPr>
        <w:spacing w:line="360" w:lineRule="auto"/>
        <w:ind w:left="-694" w:right="-540"/>
        <w:jc w:val="center"/>
        <w:rPr>
          <w:rFonts w:cs="David"/>
          <w:b/>
          <w:bCs/>
          <w:sz w:val="32"/>
          <w:szCs w:val="32"/>
          <w:u w:val="single"/>
          <w:rtl/>
        </w:rPr>
      </w:pPr>
      <w:r>
        <w:rPr>
          <w:rFonts w:cs="David"/>
          <w:b/>
          <w:bCs/>
          <w:sz w:val="32"/>
          <w:szCs w:val="32"/>
          <w:rtl/>
        </w:rPr>
        <w:t> </w:t>
      </w:r>
    </w:p>
    <w:p w:rsidR="00C7505B" w:rsidRDefault="00C7505B">
      <w:pPr>
        <w:spacing w:line="360" w:lineRule="auto"/>
        <w:ind w:left="-694" w:right="-540"/>
        <w:jc w:val="center"/>
        <w:rPr>
          <w:rFonts w:cs="David"/>
          <w:b/>
          <w:bCs/>
          <w:sz w:val="32"/>
          <w:szCs w:val="32"/>
          <w:u w:val="single"/>
          <w:rtl/>
        </w:rPr>
      </w:pPr>
      <w:r>
        <w:rPr>
          <w:rFonts w:cs="David"/>
          <w:b/>
          <w:bCs/>
          <w:sz w:val="32"/>
          <w:szCs w:val="32"/>
          <w:u w:val="single"/>
          <w:rtl/>
        </w:rPr>
        <w:br w:type="page"/>
        <w:t>גיליון ציונים של חקירות והעמדה לדין</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rtl/>
        </w:rPr>
      </w:pPr>
      <w:r>
        <w:rPr>
          <w:rFonts w:cs="David"/>
          <w:rtl/>
        </w:rPr>
        <w:t xml:space="preserve">כחלק מהדו"ח השנה הענקנו ציונים הנעים מ </w:t>
      </w:r>
      <w:r>
        <w:rPr>
          <w:rFonts w:cs="David"/>
        </w:rPr>
        <w:t>A</w:t>
      </w:r>
      <w:r>
        <w:rPr>
          <w:rFonts w:cs="David"/>
          <w:rtl/>
        </w:rPr>
        <w:t xml:space="preserve"> (הגבוה ביותר) ועד </w:t>
      </w:r>
      <w:r>
        <w:rPr>
          <w:rFonts w:cs="David"/>
        </w:rPr>
        <w:t>F</w:t>
      </w:r>
      <w:r>
        <w:rPr>
          <w:rFonts w:cs="David"/>
          <w:rtl/>
        </w:rPr>
        <w:t xml:space="preserve"> שמשקפים את הערכת מרכז שמעון ויזנטל על המאמצים והתוצאות שהושגו על ידי המדינות השונות בשנה האחרונה. (מדינות שלא ענו על השאלון שנשלח להן ושלא התקיימה בהן שום פעילות של חקירה ו/או העמדה לדין של פושעים נאצים נכללו בקטגוריה </w:t>
      </w:r>
      <w:r>
        <w:rPr>
          <w:rFonts w:cs="David"/>
        </w:rPr>
        <w:t>X</w:t>
      </w:r>
      <w:r>
        <w:rPr>
          <w:rFonts w:cs="David"/>
          <w:rtl/>
        </w:rPr>
        <w:t xml:space="preserve">.)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rtl/>
        </w:rPr>
      </w:pPr>
      <w:r>
        <w:rPr>
          <w:rFonts w:cs="David"/>
          <w:rtl/>
        </w:rPr>
        <w:t xml:space="preserve">להלן מפתח להבנת הציונים: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u w:val="single"/>
          <w:rtl/>
        </w:rPr>
      </w:pPr>
      <w:r>
        <w:rPr>
          <w:rFonts w:cs="David"/>
          <w:b/>
          <w:bCs/>
          <w:u w:val="single"/>
          <w:rtl/>
        </w:rPr>
        <w:t xml:space="preserve">קטגוריה </w:t>
      </w:r>
      <w:r>
        <w:rPr>
          <w:rFonts w:cs="David"/>
          <w:b/>
          <w:bCs/>
          <w:u w:val="single"/>
        </w:rPr>
        <w:t>A</w:t>
      </w:r>
      <w:r>
        <w:rPr>
          <w:rFonts w:cs="David"/>
          <w:b/>
          <w:bCs/>
          <w:u w:val="single"/>
          <w:rtl/>
        </w:rPr>
        <w:t>: תוכנית מצטיינת לחקירה והעמדה לדין</w:t>
      </w:r>
    </w:p>
    <w:p w:rsidR="00C7505B" w:rsidRDefault="00C7505B">
      <w:pPr>
        <w:spacing w:line="360" w:lineRule="auto"/>
        <w:ind w:left="-694" w:right="-540"/>
        <w:rPr>
          <w:rFonts w:cs="David"/>
          <w:rtl/>
        </w:rPr>
      </w:pPr>
      <w:r>
        <w:rPr>
          <w:rFonts w:cs="David"/>
          <w:rtl/>
        </w:rPr>
        <w:t xml:space="preserve">מדינות שאימצו גישה פעילה בנושא ושנקטו בכל האמצעים המתבקשים בכדי לזהות פושעי מלחמה נאצים פוטנציאלים החיים בהן במטרה להשיג תוצאות ראויות לציון בתחום החקירות וההעמדה לדין בתקופה הנדונה.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u w:val="single"/>
          <w:rtl/>
        </w:rPr>
      </w:pPr>
      <w:r>
        <w:rPr>
          <w:rFonts w:cs="David"/>
          <w:b/>
          <w:bCs/>
          <w:u w:val="single"/>
          <w:rtl/>
        </w:rPr>
        <w:t xml:space="preserve">קטגוריה </w:t>
      </w:r>
      <w:r>
        <w:rPr>
          <w:rFonts w:cs="David"/>
          <w:b/>
          <w:bCs/>
          <w:u w:val="single"/>
        </w:rPr>
        <w:t>B</w:t>
      </w:r>
      <w:r>
        <w:rPr>
          <w:rFonts w:cs="David"/>
          <w:b/>
          <w:bCs/>
          <w:u w:val="single"/>
          <w:rtl/>
        </w:rPr>
        <w:t>: תוכנית חקירה והעמדה לדין שנחלה הצלחה מעשית</w:t>
      </w:r>
    </w:p>
    <w:p w:rsidR="00C7505B" w:rsidRDefault="00C7505B">
      <w:pPr>
        <w:spacing w:line="360" w:lineRule="auto"/>
        <w:ind w:left="-694" w:right="-540"/>
        <w:rPr>
          <w:rFonts w:cs="David"/>
          <w:rtl/>
        </w:rPr>
      </w:pPr>
      <w:r>
        <w:rPr>
          <w:rFonts w:cs="David"/>
          <w:rtl/>
        </w:rPr>
        <w:t>מדינות שבמהלך התקופה הנדונה פעלו בצורה חיובית נגד  פושע או פושעים נאצים ספציפיים והשיגו לפחות הרשעה אחת  ו/או הגישו כתב-אישום אחד או בקשת  הסגרה (אם החשוד חי במדינה אחרת).</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u w:val="single"/>
          <w:rtl/>
        </w:rPr>
      </w:pPr>
      <w:r>
        <w:rPr>
          <w:rFonts w:cs="David"/>
          <w:b/>
          <w:bCs/>
          <w:u w:val="single"/>
          <w:rtl/>
        </w:rPr>
        <w:t xml:space="preserve">קטגוריה </w:t>
      </w:r>
      <w:r>
        <w:rPr>
          <w:rFonts w:cs="David"/>
          <w:b/>
          <w:bCs/>
          <w:u w:val="single"/>
        </w:rPr>
        <w:t>C</w:t>
      </w:r>
      <w:r>
        <w:rPr>
          <w:rFonts w:cs="David"/>
          <w:b/>
          <w:bCs/>
          <w:u w:val="single"/>
          <w:rtl/>
        </w:rPr>
        <w:t xml:space="preserve">: הצלחה מועטה במקום שיכלה להיות רבה יותר, נדרשים צעדים נוספים בדחיפות </w:t>
      </w:r>
    </w:p>
    <w:p w:rsidR="00C7505B" w:rsidRDefault="00C7505B">
      <w:pPr>
        <w:spacing w:line="360" w:lineRule="auto"/>
        <w:ind w:left="-694" w:right="-540"/>
        <w:rPr>
          <w:rFonts w:cs="David"/>
          <w:rtl/>
        </w:rPr>
      </w:pPr>
      <w:r>
        <w:rPr>
          <w:rFonts w:cs="David"/>
          <w:rtl/>
        </w:rPr>
        <w:t xml:space="preserve">מדינות שלא השיגו אפילו הרשעה אחת או הגישו כתב-אישום אחד או בקשת מעצר או הסגרה, אבל קידמו את הטיפול במקרים קודמים שהועלו לדיון משפטי או פתחו חקירות חדשות בעלות סיכוי רציני להצלחה.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u w:val="single"/>
          <w:rtl/>
        </w:rPr>
      </w:pPr>
      <w:r>
        <w:rPr>
          <w:rFonts w:cs="David"/>
          <w:b/>
          <w:bCs/>
          <w:u w:val="single"/>
          <w:rtl/>
        </w:rPr>
        <w:t xml:space="preserve">קטגוריה </w:t>
      </w:r>
      <w:r>
        <w:rPr>
          <w:rFonts w:cs="David"/>
          <w:b/>
          <w:bCs/>
          <w:u w:val="single"/>
        </w:rPr>
        <w:t>D</w:t>
      </w:r>
      <w:r>
        <w:rPr>
          <w:rFonts w:cs="David"/>
          <w:b/>
          <w:bCs/>
          <w:u w:val="single"/>
          <w:rtl/>
        </w:rPr>
        <w:t>: מאמצים לא מספקים ו/או לא מוצלחים</w:t>
      </w:r>
    </w:p>
    <w:p w:rsidR="00C7505B" w:rsidRDefault="00C7505B">
      <w:pPr>
        <w:spacing w:line="360" w:lineRule="auto"/>
        <w:ind w:left="-694" w:right="-540"/>
        <w:rPr>
          <w:rFonts w:cs="David"/>
          <w:rtl/>
        </w:rPr>
      </w:pPr>
      <w:r>
        <w:rPr>
          <w:rFonts w:cs="David"/>
          <w:rtl/>
        </w:rPr>
        <w:t xml:space="preserve">מדינות שלפחות השקיעו מאמץ מזערי בחקירת פושעים נאצים אבל לא השיגו תוצאות מעשיות, או כאלה שנושא זה לא קיבל טיפול מעשי בתקופה הנדונה. מדינות אלה הפסיקו או צמצמו במקרים רבים את המאמצים להתמודד עם הנושא בטרם עת ובזמן שעוד יכלו להשיג תוצאות חשובות אילו שינו את מדיניותן.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u w:val="single"/>
          <w:rtl/>
        </w:rPr>
      </w:pPr>
      <w:r>
        <w:rPr>
          <w:rFonts w:cs="David"/>
          <w:b/>
          <w:bCs/>
          <w:u w:val="single"/>
          <w:rtl/>
        </w:rPr>
        <w:t xml:space="preserve">קטגוריה </w:t>
      </w:r>
      <w:r>
        <w:rPr>
          <w:rFonts w:cs="David"/>
          <w:b/>
          <w:bCs/>
          <w:u w:val="single"/>
        </w:rPr>
        <w:t>E</w:t>
      </w:r>
      <w:r>
        <w:rPr>
          <w:rFonts w:cs="David"/>
          <w:b/>
          <w:bCs/>
          <w:u w:val="single"/>
          <w:rtl/>
        </w:rPr>
        <w:t>: לא ידוע על חשודים</w:t>
      </w:r>
    </w:p>
    <w:p w:rsidR="00C7505B" w:rsidRDefault="00C7505B">
      <w:pPr>
        <w:spacing w:line="360" w:lineRule="auto"/>
        <w:ind w:left="-694" w:right="-540"/>
        <w:rPr>
          <w:rFonts w:cs="David"/>
          <w:rtl/>
        </w:rPr>
      </w:pPr>
      <w:r>
        <w:rPr>
          <w:rFonts w:cs="David"/>
          <w:rtl/>
        </w:rPr>
        <w:t xml:space="preserve">מדינות שלא ידוע אם יש בהן חשודים ולא נקטו בצעדים מעשיים כדי לחשוף מקרים חדשים.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u w:val="single"/>
          <w:rtl/>
        </w:rPr>
      </w:pPr>
      <w:r>
        <w:rPr>
          <w:rFonts w:cs="David"/>
          <w:b/>
          <w:bCs/>
          <w:u w:val="single"/>
          <w:rtl/>
        </w:rPr>
        <w:t xml:space="preserve">קטגוריה </w:t>
      </w:r>
      <w:r>
        <w:rPr>
          <w:rFonts w:cs="David"/>
          <w:b/>
          <w:bCs/>
          <w:u w:val="single"/>
        </w:rPr>
        <w:t>F-1</w:t>
      </w:r>
      <w:r>
        <w:rPr>
          <w:rFonts w:cs="David"/>
          <w:b/>
          <w:bCs/>
          <w:u w:val="single"/>
          <w:rtl/>
        </w:rPr>
        <w:t>: כשלון עקרוני</w:t>
      </w:r>
    </w:p>
    <w:p w:rsidR="00C7505B" w:rsidRDefault="00C7505B">
      <w:pPr>
        <w:spacing w:line="360" w:lineRule="auto"/>
        <w:ind w:left="-694" w:right="-540"/>
        <w:rPr>
          <w:rFonts w:cs="David"/>
          <w:rtl/>
        </w:rPr>
      </w:pPr>
      <w:r>
        <w:rPr>
          <w:rFonts w:cs="David"/>
          <w:rtl/>
        </w:rPr>
        <w:t xml:space="preserve">מדינות שסירבו בעיקרון לחקור ולהרשיע חשודים נאצים בשל מגבלות חוק (חוק התיישנות) או סיבות אידיאולוגיות.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u w:val="single"/>
          <w:rtl/>
        </w:rPr>
      </w:pPr>
      <w:r>
        <w:rPr>
          <w:rFonts w:cs="David"/>
          <w:b/>
          <w:bCs/>
          <w:u w:val="single"/>
          <w:rtl/>
        </w:rPr>
        <w:t xml:space="preserve">קטגוריה </w:t>
      </w:r>
      <w:r>
        <w:rPr>
          <w:rFonts w:cs="David"/>
          <w:b/>
          <w:bCs/>
          <w:u w:val="single"/>
        </w:rPr>
        <w:t>F-2</w:t>
      </w:r>
      <w:r>
        <w:rPr>
          <w:rFonts w:cs="David"/>
          <w:b/>
          <w:bCs/>
          <w:u w:val="single"/>
          <w:rtl/>
        </w:rPr>
        <w:t>: כשלון ביצועי</w:t>
      </w:r>
    </w:p>
    <w:p w:rsidR="00C7505B" w:rsidRDefault="00C7505B">
      <w:pPr>
        <w:spacing w:line="360" w:lineRule="auto"/>
        <w:ind w:left="-694" w:right="-540"/>
        <w:rPr>
          <w:rFonts w:cs="David"/>
          <w:rtl/>
        </w:rPr>
      </w:pPr>
      <w:r>
        <w:rPr>
          <w:rFonts w:cs="David"/>
          <w:rtl/>
        </w:rPr>
        <w:t xml:space="preserve">מדינות שאין בהן כל מכשול חוקי לביצוע חקירות והרשעות של חשודים, אך מעשיהן או מחדליהן לא הניבו דבר במהלך השנה, בעיקר בשל חוסר רצון פוליטי או בשל  מחסור במומחים או במשאבים.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rtl/>
        </w:rPr>
      </w:pPr>
      <w:r>
        <w:rPr>
          <w:rFonts w:cs="David"/>
          <w:rtl/>
        </w:rPr>
        <w:br w:type="page"/>
      </w:r>
    </w:p>
    <w:p w:rsidR="00C7505B" w:rsidRDefault="00C7505B">
      <w:pPr>
        <w:spacing w:line="360" w:lineRule="auto"/>
        <w:ind w:left="-694" w:right="-540"/>
        <w:rPr>
          <w:rFonts w:cs="David"/>
          <w:u w:val="single"/>
          <w:rtl/>
        </w:rPr>
      </w:pPr>
      <w:r>
        <w:rPr>
          <w:rFonts w:cs="David"/>
          <w:b/>
          <w:bCs/>
          <w:u w:val="single"/>
          <w:rtl/>
        </w:rPr>
        <w:t xml:space="preserve">קטגוריה  </w:t>
      </w:r>
      <w:r>
        <w:rPr>
          <w:rFonts w:cs="David"/>
          <w:b/>
          <w:bCs/>
          <w:u w:val="single"/>
        </w:rPr>
        <w:t>X</w:t>
      </w:r>
      <w:r>
        <w:rPr>
          <w:rFonts w:cs="David"/>
          <w:u w:val="single"/>
          <w:rtl/>
        </w:rPr>
        <w:t>: לא הוגשו נתונים מעודכנים</w:t>
      </w:r>
    </w:p>
    <w:p w:rsidR="00C7505B" w:rsidRDefault="00C7505B">
      <w:pPr>
        <w:spacing w:line="360" w:lineRule="auto"/>
        <w:ind w:left="-694" w:right="-540"/>
        <w:rPr>
          <w:rFonts w:cs="David"/>
          <w:rtl/>
        </w:rPr>
      </w:pPr>
      <w:r>
        <w:rPr>
          <w:rFonts w:cs="David"/>
          <w:rtl/>
        </w:rPr>
        <w:t xml:space="preserve">מדינות שלא השיבו על השאלון, אך ברור שלא עשו כל מאמץ לחקור פושעי מלחמה במהלך השנה האחרונה.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b/>
          <w:bCs/>
          <w:rtl/>
        </w:rPr>
      </w:pPr>
      <w:r>
        <w:rPr>
          <w:rFonts w:cs="David"/>
          <w:b/>
          <w:bCs/>
          <w:rtl/>
        </w:rPr>
        <w:t xml:space="preserve">להלן הציונים: </w:t>
      </w:r>
    </w:p>
    <w:p w:rsidR="00C7505B" w:rsidRDefault="00C7505B">
      <w:pPr>
        <w:spacing w:line="360" w:lineRule="auto"/>
        <w:ind w:left="-694" w:right="-540"/>
        <w:rPr>
          <w:rFonts w:cs="David"/>
          <w:rtl/>
        </w:rPr>
      </w:pPr>
      <w:r>
        <w:rPr>
          <w:rFonts w:cs="David"/>
          <w:rtl/>
        </w:rPr>
        <w:t> </w:t>
      </w:r>
    </w:p>
    <w:p w:rsidR="00C7505B" w:rsidRDefault="00C7505B">
      <w:pPr>
        <w:spacing w:before="240" w:line="360" w:lineRule="auto"/>
        <w:ind w:left="-694" w:right="-539"/>
        <w:rPr>
          <w:rFonts w:cs="David"/>
        </w:rPr>
      </w:pPr>
      <w:r>
        <w:rPr>
          <w:rFonts w:cs="David"/>
        </w:rPr>
        <w:t>A</w:t>
      </w:r>
      <w:r>
        <w:rPr>
          <w:rFonts w:cs="David"/>
          <w:rtl/>
        </w:rPr>
        <w:t>:</w:t>
      </w:r>
      <w:r>
        <w:rPr>
          <w:rFonts w:cs="David"/>
          <w:rtl/>
        </w:rPr>
        <w:tab/>
        <w:t>ארצות הברית</w:t>
      </w:r>
    </w:p>
    <w:p w:rsidR="00C7505B" w:rsidRDefault="00C7505B" w:rsidP="00F27CB5">
      <w:pPr>
        <w:spacing w:before="240" w:line="360" w:lineRule="auto"/>
        <w:ind w:left="-694" w:right="-539"/>
        <w:rPr>
          <w:rFonts w:cs="David"/>
          <w:rtl/>
        </w:rPr>
      </w:pPr>
      <w:r>
        <w:rPr>
          <w:rFonts w:cs="David"/>
        </w:rPr>
        <w:t>B</w:t>
      </w:r>
      <w:r>
        <w:rPr>
          <w:rFonts w:cs="David"/>
          <w:rtl/>
        </w:rPr>
        <w:t>:</w:t>
      </w:r>
      <w:r>
        <w:rPr>
          <w:rFonts w:cs="David"/>
          <w:rtl/>
        </w:rPr>
        <w:tab/>
        <w:t>איטליה*, קנדה, גרמניה, הונגריה, סלובקיה, סרביה*</w:t>
      </w:r>
    </w:p>
    <w:p w:rsidR="00C7505B" w:rsidRDefault="00C7505B">
      <w:pPr>
        <w:spacing w:before="240" w:line="360" w:lineRule="auto"/>
        <w:ind w:left="-694" w:right="-539"/>
        <w:rPr>
          <w:rFonts w:cs="David"/>
          <w:rtl/>
        </w:rPr>
      </w:pPr>
      <w:r>
        <w:rPr>
          <w:rFonts w:cs="David"/>
        </w:rPr>
        <w:t>C</w:t>
      </w:r>
      <w:r>
        <w:rPr>
          <w:rFonts w:cs="David"/>
          <w:rtl/>
        </w:rPr>
        <w:t>:</w:t>
      </w:r>
      <w:r>
        <w:rPr>
          <w:rFonts w:cs="David"/>
          <w:rtl/>
        </w:rPr>
        <w:tab/>
        <w:t>הולנד*, פולין*</w:t>
      </w:r>
    </w:p>
    <w:p w:rsidR="00C7505B" w:rsidRDefault="00C7505B">
      <w:pPr>
        <w:spacing w:before="240" w:line="360" w:lineRule="auto"/>
        <w:ind w:left="26" w:right="-539" w:hanging="720"/>
        <w:rPr>
          <w:rFonts w:cs="David"/>
        </w:rPr>
      </w:pPr>
      <w:r>
        <w:rPr>
          <w:rFonts w:cs="David"/>
        </w:rPr>
        <w:t>D</w:t>
      </w:r>
      <w:r>
        <w:rPr>
          <w:rFonts w:cs="David"/>
          <w:rtl/>
        </w:rPr>
        <w:t>:</w:t>
      </w:r>
      <w:r>
        <w:rPr>
          <w:rFonts w:cs="David"/>
          <w:rtl/>
        </w:rPr>
        <w:tab/>
        <w:t xml:space="preserve"> בריטניה*</w:t>
      </w:r>
    </w:p>
    <w:p w:rsidR="00C7505B" w:rsidRDefault="00C7505B" w:rsidP="00600D1D">
      <w:pPr>
        <w:spacing w:before="240" w:line="360" w:lineRule="auto"/>
        <w:ind w:left="26" w:right="-539" w:hanging="720"/>
        <w:rPr>
          <w:rFonts w:cs="David"/>
          <w:rtl/>
        </w:rPr>
      </w:pPr>
      <w:r>
        <w:rPr>
          <w:rFonts w:cs="David"/>
        </w:rPr>
        <w:t>E</w:t>
      </w:r>
      <w:r>
        <w:rPr>
          <w:rFonts w:cs="David"/>
          <w:rtl/>
        </w:rPr>
        <w:t>:</w:t>
      </w:r>
      <w:r>
        <w:rPr>
          <w:rFonts w:cs="David"/>
          <w:rtl/>
        </w:rPr>
        <w:tab/>
        <w:t xml:space="preserve">בוסניה-הרצגובינה, יוון, ניו-זילנד, ספרד, פינלנד, צרפת, צ'כיה, קוסטה ריקה, קרואטיה, רומניה </w:t>
      </w:r>
    </w:p>
    <w:p w:rsidR="00C7505B" w:rsidRDefault="00C7505B">
      <w:pPr>
        <w:spacing w:before="240" w:line="360" w:lineRule="auto"/>
        <w:ind w:left="26" w:right="-539" w:hanging="720"/>
        <w:rPr>
          <w:rFonts w:cs="David"/>
          <w:rtl/>
        </w:rPr>
      </w:pPr>
      <w:r>
        <w:rPr>
          <w:rFonts w:cs="David"/>
        </w:rPr>
        <w:t>F-1</w:t>
      </w:r>
      <w:r>
        <w:rPr>
          <w:rFonts w:cs="David"/>
          <w:rtl/>
        </w:rPr>
        <w:t xml:space="preserve">: </w:t>
      </w:r>
      <w:r>
        <w:rPr>
          <w:rFonts w:cs="David"/>
          <w:rtl/>
        </w:rPr>
        <w:tab/>
        <w:t>נורבגיה, סוריה, שבדיה</w:t>
      </w:r>
    </w:p>
    <w:p w:rsidR="00C7505B" w:rsidRDefault="00C7505B" w:rsidP="00F00522">
      <w:pPr>
        <w:spacing w:before="240" w:line="360" w:lineRule="auto"/>
        <w:ind w:left="26" w:right="-539" w:hanging="720"/>
        <w:rPr>
          <w:rFonts w:cs="David"/>
          <w:rtl/>
        </w:rPr>
      </w:pPr>
      <w:r>
        <w:rPr>
          <w:rFonts w:cs="David"/>
        </w:rPr>
        <w:t>F-2</w:t>
      </w:r>
      <w:r>
        <w:rPr>
          <w:rFonts w:cs="David"/>
          <w:rtl/>
        </w:rPr>
        <w:t>:</w:t>
      </w:r>
      <w:r>
        <w:rPr>
          <w:rFonts w:cs="David"/>
          <w:rtl/>
        </w:rPr>
        <w:tab/>
        <w:t>אוסטרליה, אוסטריה, אסטוניה, אוקראינה, לטביה, ליטא</w:t>
      </w:r>
    </w:p>
    <w:p w:rsidR="00C7505B" w:rsidRDefault="00C7505B" w:rsidP="00F00522">
      <w:pPr>
        <w:spacing w:before="240" w:line="360" w:lineRule="auto"/>
        <w:ind w:left="26" w:right="-539" w:hanging="720"/>
        <w:rPr>
          <w:rFonts w:cs="David"/>
          <w:rtl/>
        </w:rPr>
      </w:pPr>
      <w:r>
        <w:rPr>
          <w:rFonts w:cs="David"/>
        </w:rPr>
        <w:t>X</w:t>
      </w:r>
      <w:r>
        <w:rPr>
          <w:rFonts w:cs="David"/>
          <w:rtl/>
        </w:rPr>
        <w:t>:</w:t>
      </w:r>
      <w:r>
        <w:rPr>
          <w:rFonts w:cs="David"/>
          <w:rtl/>
        </w:rPr>
        <w:tab/>
        <w:t>אורוגוואי, ארגנטינה, בוליביה, בילורוסיה, בלגיה, ברזיל, דנמרק, לוקסמבורג, סלובניה, פאראגוואי, צ'ילה, קולומביה, רוסיה</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rtl/>
        </w:rPr>
      </w:pPr>
      <w:r>
        <w:rPr>
          <w:rFonts w:cs="David"/>
          <w:rtl/>
        </w:rPr>
        <w:t> </w:t>
      </w:r>
    </w:p>
    <w:p w:rsidR="00C7505B" w:rsidRDefault="00C7505B">
      <w:pPr>
        <w:spacing w:line="360" w:lineRule="auto"/>
        <w:ind w:left="-694" w:right="-540"/>
        <w:rPr>
          <w:rFonts w:cs="David"/>
          <w:rtl/>
        </w:rPr>
      </w:pPr>
      <w:r>
        <w:rPr>
          <w:rFonts w:cs="David"/>
          <w:rtl/>
        </w:rPr>
        <w:t>* ציון זמני שמותנה בקבלת תשובות רשמיות מהרשויות המוסמכות</w:t>
      </w:r>
      <w:r>
        <w:rPr>
          <w:rFonts w:cs="David"/>
          <w:rtl/>
        </w:rPr>
        <w:br w:type="page"/>
      </w:r>
    </w:p>
    <w:p w:rsidR="00C7505B" w:rsidRDefault="00C7505B">
      <w:pPr>
        <w:pStyle w:val="Heading4"/>
        <w:rPr>
          <w:rtl/>
        </w:rPr>
      </w:pPr>
      <w:r>
        <w:rPr>
          <w:rtl/>
        </w:rPr>
        <w:t>הפושעים הנאצים המבוקשים הבכירים ביותר כיום</w:t>
      </w:r>
    </w:p>
    <w:p w:rsidR="00C7505B" w:rsidRDefault="00C7505B">
      <w:pPr>
        <w:rPr>
          <w:rtl/>
        </w:rPr>
      </w:pPr>
    </w:p>
    <w:p w:rsidR="00C7505B" w:rsidRDefault="00C7505B" w:rsidP="004A2233">
      <w:pPr>
        <w:pStyle w:val="Heading4"/>
        <w:rPr>
          <w:rtl/>
        </w:rPr>
      </w:pPr>
      <w:r>
        <w:rPr>
          <w:rtl/>
        </w:rPr>
        <w:t>נכון לראשון באפריל, 2013</w:t>
      </w:r>
    </w:p>
    <w:p w:rsidR="00C7505B" w:rsidRDefault="00C7505B">
      <w:pPr>
        <w:spacing w:line="340" w:lineRule="exact"/>
        <w:ind w:left="-873" w:right="-1622"/>
        <w:jc w:val="center"/>
        <w:rPr>
          <w:rFonts w:cs="David"/>
          <w:b/>
          <w:bCs/>
          <w:sz w:val="28"/>
          <w:szCs w:val="28"/>
          <w:u w:val="single"/>
          <w:rtl/>
        </w:rPr>
      </w:pPr>
    </w:p>
    <w:p w:rsidR="00C7505B" w:rsidRDefault="00C7505B">
      <w:pPr>
        <w:spacing w:line="340" w:lineRule="exact"/>
        <w:ind w:left="-873" w:right="-1622"/>
        <w:jc w:val="center"/>
        <w:rPr>
          <w:rFonts w:cs="David"/>
          <w:b/>
          <w:bCs/>
          <w:sz w:val="28"/>
          <w:szCs w:val="28"/>
          <w:u w:val="single"/>
          <w:rtl/>
        </w:rPr>
      </w:pPr>
    </w:p>
    <w:tbl>
      <w:tblPr>
        <w:bidiVisual/>
        <w:tblW w:w="9653" w:type="dxa"/>
        <w:tblInd w:w="-87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653"/>
      </w:tblGrid>
      <w:tr w:rsidR="00C7505B" w:rsidTr="001370C7">
        <w:trPr>
          <w:trHeight w:val="6745"/>
        </w:trPr>
        <w:tc>
          <w:tcPr>
            <w:tcW w:w="9653" w:type="dxa"/>
          </w:tcPr>
          <w:p w:rsidR="00C7505B" w:rsidRDefault="00C7505B">
            <w:pPr>
              <w:spacing w:line="340" w:lineRule="exact"/>
              <w:ind w:left="185" w:right="-1622"/>
              <w:rPr>
                <w:rFonts w:cs="David"/>
                <w:b/>
                <w:bCs/>
                <w:rtl/>
              </w:rPr>
            </w:pPr>
          </w:p>
          <w:p w:rsidR="00C7505B" w:rsidRDefault="00C7505B">
            <w:pPr>
              <w:spacing w:line="340" w:lineRule="exact"/>
              <w:ind w:left="185" w:right="-1622"/>
              <w:rPr>
                <w:rFonts w:cs="David"/>
                <w:b/>
                <w:bCs/>
                <w:rtl/>
              </w:rPr>
            </w:pPr>
            <w:r>
              <w:rPr>
                <w:rFonts w:cs="David"/>
                <w:b/>
                <w:bCs/>
                <w:sz w:val="28"/>
                <w:szCs w:val="28"/>
                <w:rtl/>
              </w:rPr>
              <w:t>*א. אלואיס ברונר – סוריה</w:t>
            </w:r>
          </w:p>
          <w:p w:rsidR="00C7505B" w:rsidRDefault="00C7505B">
            <w:pPr>
              <w:spacing w:line="340" w:lineRule="exact"/>
              <w:ind w:left="185" w:right="-1622"/>
              <w:rPr>
                <w:rFonts w:cs="David"/>
                <w:rtl/>
              </w:rPr>
            </w:pPr>
          </w:p>
          <w:p w:rsidR="00C7505B" w:rsidRDefault="00C7505B">
            <w:pPr>
              <w:spacing w:line="340" w:lineRule="exact"/>
              <w:ind w:left="185" w:right="-1622"/>
              <w:rPr>
                <w:rFonts w:cs="David"/>
                <w:rtl/>
              </w:rPr>
            </w:pPr>
            <w:r>
              <w:rPr>
                <w:rFonts w:cs="David"/>
                <w:rtl/>
              </w:rPr>
              <w:t>מאנשי המפתח של אדולף אייכמן</w:t>
            </w:r>
          </w:p>
          <w:p w:rsidR="00C7505B" w:rsidRDefault="00C7505B">
            <w:pPr>
              <w:spacing w:line="340" w:lineRule="exact"/>
              <w:ind w:left="185" w:right="-1622"/>
              <w:rPr>
                <w:rFonts w:cs="David"/>
                <w:rtl/>
              </w:rPr>
            </w:pPr>
            <w:r>
              <w:rPr>
                <w:rFonts w:cs="David"/>
                <w:rtl/>
              </w:rPr>
              <w:t>אחראי לגירוש יהודים מאוסטריה (47,000), יוון (44,000), צרפת (23,500) וסלובקיה (14,000) למחנות</w:t>
            </w:r>
          </w:p>
          <w:p w:rsidR="00C7505B" w:rsidRDefault="00C7505B">
            <w:pPr>
              <w:spacing w:line="340" w:lineRule="exact"/>
              <w:ind w:left="185" w:right="-1622"/>
              <w:rPr>
                <w:rFonts w:cs="David"/>
                <w:rtl/>
              </w:rPr>
            </w:pPr>
            <w:r>
              <w:rPr>
                <w:rFonts w:cs="David"/>
                <w:rtl/>
              </w:rPr>
              <w:t xml:space="preserve">ההשמדה </w:t>
            </w:r>
          </w:p>
          <w:p w:rsidR="00C7505B" w:rsidRDefault="00C7505B">
            <w:pPr>
              <w:spacing w:line="340" w:lineRule="exact"/>
              <w:ind w:left="185" w:right="-1622"/>
              <w:rPr>
                <w:rFonts w:cs="David"/>
                <w:rtl/>
              </w:rPr>
            </w:pPr>
            <w:r>
              <w:rPr>
                <w:rFonts w:cs="David"/>
                <w:u w:val="single"/>
                <w:rtl/>
              </w:rPr>
              <w:t>המצב כיום</w:t>
            </w:r>
            <w:r>
              <w:rPr>
                <w:rFonts w:cs="David"/>
                <w:rtl/>
              </w:rPr>
              <w:t xml:space="preserve"> -  התגורר שנים בסוריה; מאמצי ההעמדה לדין נכשלים בשל סירובה של סוריה לשתף פעולה; </w:t>
            </w:r>
          </w:p>
          <w:p w:rsidR="00C7505B" w:rsidRDefault="00C7505B">
            <w:pPr>
              <w:spacing w:line="340" w:lineRule="exact"/>
              <w:ind w:left="185" w:right="-1622"/>
              <w:rPr>
                <w:rFonts w:cs="David"/>
                <w:rtl/>
              </w:rPr>
            </w:pPr>
            <w:r>
              <w:rPr>
                <w:rFonts w:cs="David"/>
                <w:rtl/>
              </w:rPr>
              <w:t>הורשע בצרפת בהעדרו</w:t>
            </w:r>
          </w:p>
          <w:p w:rsidR="00C7505B" w:rsidRDefault="00C7505B">
            <w:pPr>
              <w:spacing w:line="340" w:lineRule="exact"/>
              <w:ind w:left="185" w:right="-1622"/>
              <w:rPr>
                <w:rFonts w:cs="David"/>
                <w:rtl/>
              </w:rPr>
            </w:pPr>
          </w:p>
          <w:p w:rsidR="00C7505B" w:rsidRDefault="00C7505B">
            <w:pPr>
              <w:spacing w:line="340" w:lineRule="exact"/>
              <w:ind w:left="185" w:right="-1622"/>
              <w:rPr>
                <w:rFonts w:cs="David"/>
                <w:rtl/>
              </w:rPr>
            </w:pPr>
            <w:r>
              <w:rPr>
                <w:rFonts w:cs="David"/>
                <w:rtl/>
              </w:rPr>
              <w:t>אלואיס ברונר הוא פושע המלחמה הנאצי הבכיר ביותר שטרם נענש וייתכן שעודו בחיים, אך הסבירות לכך</w:t>
            </w:r>
          </w:p>
          <w:p w:rsidR="00C7505B" w:rsidRDefault="00C7505B">
            <w:pPr>
              <w:spacing w:line="340" w:lineRule="exact"/>
              <w:ind w:left="185" w:right="-1622"/>
              <w:rPr>
                <w:rFonts w:cs="David"/>
                <w:rtl/>
              </w:rPr>
            </w:pPr>
            <w:r>
              <w:rPr>
                <w:rFonts w:cs="David"/>
                <w:rtl/>
              </w:rPr>
              <w:t xml:space="preserve">פוחתת עם כל שנה חולפת שכן הוא נולד ב –1912 ונראה לאחרונה ב-2001. הוא כלול עדיין ברשימה זו </w:t>
            </w:r>
            <w:r>
              <w:rPr>
                <w:rFonts w:cs="David"/>
                <w:rtl/>
              </w:rPr>
              <w:br/>
              <w:t xml:space="preserve">עד שיתקבלו הוכחות חד-משמעיות למותו. </w:t>
            </w:r>
          </w:p>
          <w:p w:rsidR="00C7505B" w:rsidRDefault="00C7505B">
            <w:pPr>
              <w:spacing w:line="340" w:lineRule="exact"/>
              <w:ind w:left="185" w:right="-1622"/>
              <w:rPr>
                <w:rFonts w:cs="David"/>
                <w:rtl/>
              </w:rPr>
            </w:pPr>
          </w:p>
          <w:p w:rsidR="00C7505B" w:rsidRDefault="00C7505B">
            <w:pPr>
              <w:spacing w:line="340" w:lineRule="exact"/>
              <w:ind w:left="185" w:right="-540"/>
              <w:rPr>
                <w:rFonts w:cs="David"/>
                <w:b/>
                <w:bCs/>
                <w:sz w:val="28"/>
                <w:szCs w:val="28"/>
                <w:rtl/>
              </w:rPr>
            </w:pPr>
            <w:r>
              <w:rPr>
                <w:rFonts w:cs="David"/>
                <w:b/>
                <w:bCs/>
                <w:sz w:val="28"/>
                <w:szCs w:val="28"/>
                <w:rtl/>
              </w:rPr>
              <w:t>*ב.</w:t>
            </w:r>
            <w:r>
              <w:rPr>
                <w:rFonts w:cs="David"/>
                <w:b/>
                <w:bCs/>
                <w:sz w:val="28"/>
                <w:szCs w:val="28"/>
                <w:rtl/>
              </w:rPr>
              <w:tab/>
              <w:t>דר' אריברט היים - ?</w:t>
            </w:r>
          </w:p>
          <w:p w:rsidR="00C7505B" w:rsidRDefault="00C7505B">
            <w:pPr>
              <w:spacing w:line="340" w:lineRule="exact"/>
              <w:ind w:left="185" w:right="-540"/>
              <w:rPr>
                <w:rFonts w:cs="David"/>
                <w:b/>
                <w:bCs/>
                <w:sz w:val="28"/>
                <w:szCs w:val="28"/>
                <w:rtl/>
              </w:rPr>
            </w:pPr>
          </w:p>
          <w:p w:rsidR="00C7505B" w:rsidRDefault="00C7505B">
            <w:pPr>
              <w:spacing w:line="340" w:lineRule="exact"/>
              <w:ind w:left="185" w:right="-540"/>
              <w:rPr>
                <w:rFonts w:cs="David"/>
                <w:rtl/>
              </w:rPr>
            </w:pPr>
            <w:r>
              <w:rPr>
                <w:rFonts w:cs="David"/>
                <w:rtl/>
              </w:rPr>
              <w:t>רופא במחנות הריכוז סקסנהאוזן (1940), בוכנוואלד (1941) ומאוטהאוזן (1941)</w:t>
            </w:r>
          </w:p>
          <w:p w:rsidR="00C7505B" w:rsidRDefault="00C7505B">
            <w:pPr>
              <w:spacing w:line="340" w:lineRule="exact"/>
              <w:ind w:left="185" w:right="-540"/>
              <w:rPr>
                <w:rFonts w:cs="David"/>
                <w:rtl/>
              </w:rPr>
            </w:pPr>
            <w:r>
              <w:rPr>
                <w:rFonts w:cs="David"/>
                <w:rtl/>
              </w:rPr>
              <w:t>רצח עשרות אסירים במחנה מאוטהאוזן בזריקות רעל</w:t>
            </w:r>
          </w:p>
          <w:p w:rsidR="00C7505B" w:rsidRDefault="00C7505B" w:rsidP="004A2233">
            <w:pPr>
              <w:spacing w:line="340" w:lineRule="exact"/>
              <w:ind w:left="185" w:right="-540"/>
              <w:rPr>
                <w:rFonts w:cs="David"/>
                <w:rtl/>
              </w:rPr>
            </w:pPr>
            <w:r>
              <w:rPr>
                <w:rFonts w:cs="David"/>
                <w:u w:val="single"/>
                <w:rtl/>
              </w:rPr>
              <w:t>המצב כיום</w:t>
            </w:r>
            <w:r>
              <w:rPr>
                <w:rFonts w:cs="David"/>
                <w:rtl/>
              </w:rPr>
              <w:t xml:space="preserve"> – נעלם בשנת 1962 לפני העמדה מתוכננת לדין; מבוקש בגרמניה ואוסטריה</w:t>
            </w:r>
          </w:p>
          <w:p w:rsidR="00C7505B" w:rsidRDefault="00C7505B">
            <w:pPr>
              <w:spacing w:line="340" w:lineRule="exact"/>
              <w:ind w:left="185" w:right="-540"/>
              <w:rPr>
                <w:rFonts w:cs="David"/>
                <w:rtl/>
              </w:rPr>
            </w:pPr>
            <w:r>
              <w:rPr>
                <w:rFonts w:cs="David"/>
                <w:rtl/>
              </w:rPr>
              <w:t xml:space="preserve">ממצאים חדשים שהתגלו בפברואר 2009 מעלים אפשרות שמת בקהיר ב-1992, אך ישנם ספקות רציניים </w:t>
            </w:r>
          </w:p>
          <w:p w:rsidR="00C7505B" w:rsidRDefault="00C7505B" w:rsidP="004A2233">
            <w:pPr>
              <w:spacing w:line="340" w:lineRule="exact"/>
              <w:ind w:left="185" w:right="-540"/>
              <w:rPr>
                <w:rFonts w:cs="David"/>
                <w:rtl/>
              </w:rPr>
            </w:pPr>
            <w:r>
              <w:rPr>
                <w:rFonts w:cs="David"/>
                <w:rtl/>
              </w:rPr>
              <w:t xml:space="preserve">לגבי אמיתותם בשל העדר גופה לבדיקות פתולוגיות. בשנה האחרונה סגר בית המשפט בבאדן-באדן </w:t>
            </w:r>
            <w:r>
              <w:rPr>
                <w:rFonts w:cs="David"/>
                <w:rtl/>
              </w:rPr>
              <w:br/>
              <w:t xml:space="preserve">את התיק למרות שלא נמצאו ממצאים שמוכיחים את מותו של היים. </w:t>
            </w:r>
          </w:p>
          <w:p w:rsidR="00C7505B" w:rsidRDefault="00C7505B">
            <w:pPr>
              <w:spacing w:line="340" w:lineRule="exact"/>
              <w:ind w:left="185" w:right="-1622"/>
              <w:rPr>
                <w:rFonts w:cs="David"/>
                <w:b/>
                <w:bCs/>
                <w:sz w:val="28"/>
                <w:szCs w:val="28"/>
                <w:u w:val="single"/>
              </w:rPr>
            </w:pPr>
          </w:p>
        </w:tc>
      </w:tr>
    </w:tbl>
    <w:p w:rsidR="00C7505B" w:rsidRDefault="00C7505B">
      <w:pPr>
        <w:spacing w:line="340" w:lineRule="exact"/>
        <w:ind w:left="-873" w:right="-1622"/>
        <w:jc w:val="center"/>
        <w:rPr>
          <w:rFonts w:cs="David"/>
          <w:b/>
          <w:bCs/>
          <w:sz w:val="28"/>
          <w:szCs w:val="28"/>
          <w:u w:val="single"/>
          <w:rtl/>
        </w:rPr>
      </w:pPr>
    </w:p>
    <w:p w:rsidR="00C7505B" w:rsidRDefault="00C7505B">
      <w:pPr>
        <w:spacing w:line="340" w:lineRule="exact"/>
        <w:ind w:right="-540"/>
        <w:rPr>
          <w:rFonts w:cs="David"/>
          <w:rtl/>
        </w:rPr>
      </w:pPr>
    </w:p>
    <w:p w:rsidR="00C7505B" w:rsidRDefault="00C7505B">
      <w:pPr>
        <w:spacing w:line="340" w:lineRule="exact"/>
        <w:ind w:left="32" w:right="-540"/>
        <w:rPr>
          <w:rFonts w:cs="David"/>
          <w:rtl/>
        </w:rPr>
      </w:pPr>
    </w:p>
    <w:p w:rsidR="00C7505B" w:rsidRDefault="00C7505B">
      <w:pPr>
        <w:pStyle w:val="Heading3"/>
        <w:numPr>
          <w:ilvl w:val="0"/>
          <w:numId w:val="0"/>
        </w:numPr>
        <w:ind w:left="-873" w:right="-540"/>
        <w:rPr>
          <w:rtl/>
        </w:rPr>
      </w:pPr>
      <w:r>
        <w:rPr>
          <w:sz w:val="28"/>
          <w:szCs w:val="28"/>
          <w:rtl/>
        </w:rPr>
        <w:t>1.</w:t>
      </w:r>
      <w:r>
        <w:rPr>
          <w:sz w:val="28"/>
          <w:szCs w:val="28"/>
          <w:rtl/>
        </w:rPr>
        <w:tab/>
        <w:t>לאדיסלאב צ'זיק-צ'אטארי</w:t>
      </w:r>
    </w:p>
    <w:p w:rsidR="00C7505B" w:rsidRDefault="00C7505B">
      <w:pPr>
        <w:spacing w:line="340" w:lineRule="exact"/>
        <w:ind w:right="-720"/>
        <w:rPr>
          <w:rFonts w:cs="David"/>
          <w:rtl/>
        </w:rPr>
      </w:pPr>
      <w:r>
        <w:rPr>
          <w:rFonts w:cs="David"/>
          <w:rtl/>
        </w:rPr>
        <w:t xml:space="preserve">שרת כמפקד המשטרה ההונגרית בקושיצה (סלובקיה תחת כיבוש הונגרי) והיה אחראי לגטו "היהודים המיוחסים"; סייע בארגון הגירוש לאושוויץ של בערך 15,700 יהודים מקושיצה וסביבותיה באביב 1944. </w:t>
      </w:r>
    </w:p>
    <w:p w:rsidR="00C7505B" w:rsidRDefault="00C7505B" w:rsidP="00136057">
      <w:pPr>
        <w:spacing w:line="340" w:lineRule="exact"/>
        <w:ind w:right="-540"/>
        <w:rPr>
          <w:rFonts w:cs="David"/>
          <w:rtl/>
        </w:rPr>
      </w:pPr>
      <w:r>
        <w:rPr>
          <w:rFonts w:cs="David"/>
          <w:u w:val="single"/>
          <w:rtl/>
        </w:rPr>
        <w:t>המצב כיום</w:t>
      </w:r>
      <w:r>
        <w:rPr>
          <w:rFonts w:cs="David"/>
          <w:rtl/>
        </w:rPr>
        <w:t xml:space="preserve"> -  הורשע בהעדרו ונשפט למוות על עינוי יהודים ועל חלקו בגרוש ההמוני לאושוויץ. נמלט לקנדה לאחר מלחמת העולם השניה, אך אזרחותו הקנדית נשללה ממנו ב 1997, ואז עזב את המדינה ביוזמתו. עד סתיו 2011 לא נודע היכן הוא ואז התגלה בבודפשט על ידי מרכז ויזנטל במסגרת "מבצע: הזדמנות אחרונה." ב-17 ביולי, 2012, הואשם בעינוי יהודי גטו קושיצה, הוכנס למאסר בית ודרכונו נשלל ממנו. כעת ממתין שם למשפט אפשרי. בסוף מרץ 2013, המיר בית משפט סלובקי את גזר דין המוות שלו במאסר עולם כדי לאפשר לסלובקיה לבקש את הסגרתו מהונגריה ולהעמיד אותו לדין באשמת פשעיו בקושיצה. </w:t>
      </w:r>
    </w:p>
    <w:p w:rsidR="00C7505B" w:rsidRDefault="00C7505B" w:rsidP="00CE5D88">
      <w:pPr>
        <w:pStyle w:val="Heading3"/>
        <w:numPr>
          <w:ilvl w:val="0"/>
          <w:numId w:val="0"/>
        </w:numPr>
        <w:ind w:left="-873" w:right="-902"/>
        <w:rPr>
          <w:sz w:val="28"/>
          <w:szCs w:val="28"/>
          <w:rtl/>
        </w:rPr>
      </w:pPr>
      <w:r>
        <w:rPr>
          <w:sz w:val="28"/>
          <w:szCs w:val="28"/>
          <w:rtl/>
        </w:rPr>
        <w:t>2.</w:t>
      </w:r>
      <w:r>
        <w:rPr>
          <w:sz w:val="28"/>
          <w:szCs w:val="28"/>
          <w:rtl/>
        </w:rPr>
        <w:tab/>
        <w:t>ג'ראלד סומר – גרמניה</w:t>
      </w:r>
    </w:p>
    <w:p w:rsidR="00C7505B" w:rsidRDefault="00C7505B">
      <w:pPr>
        <w:spacing w:line="340" w:lineRule="exact"/>
        <w:ind w:right="-902"/>
        <w:rPr>
          <w:rFonts w:cs="David"/>
          <w:rtl/>
        </w:rPr>
      </w:pPr>
      <w:r>
        <w:rPr>
          <w:rFonts w:cs="David"/>
          <w:rtl/>
        </w:rPr>
        <w:t xml:space="preserve">שרת כס.ס. אונטרשטורמפיהרר ביחידת  הפאנצרגרנאדיר  ה-16 ברייכספיהרר-ס.ס.; השתתף ברצח 560 אזרחים בכפר האיטלקי סיינט אנה ד'סטאזמה. </w:t>
      </w:r>
    </w:p>
    <w:p w:rsidR="00C7505B" w:rsidRDefault="00C7505B">
      <w:pPr>
        <w:spacing w:line="340" w:lineRule="exact"/>
        <w:ind w:right="-902"/>
        <w:rPr>
          <w:rFonts w:cs="David"/>
          <w:rtl/>
        </w:rPr>
      </w:pPr>
      <w:r>
        <w:rPr>
          <w:rFonts w:cs="David"/>
          <w:u w:val="single"/>
          <w:rtl/>
        </w:rPr>
        <w:t>המצב כיום</w:t>
      </w:r>
      <w:r>
        <w:rPr>
          <w:rFonts w:cs="David"/>
          <w:rtl/>
        </w:rPr>
        <w:t xml:space="preserve"> – ב-25 ביוני, 2005, הורשע בהעדרו ע"י בית דין צבאי בלה-ספציה, איטליה בביצוע "רצח אכזרי במיוחד" ב סיינט אנה ד'סטאזמה. מאז 2002, הוא נחקר ע"י שלטונות גרמניה אך טרם הוגשה נגדו כתב-אישום. </w:t>
      </w:r>
    </w:p>
    <w:p w:rsidR="00C7505B" w:rsidRDefault="00C7505B">
      <w:pPr>
        <w:spacing w:line="340" w:lineRule="exact"/>
        <w:ind w:right="-902"/>
        <w:rPr>
          <w:rFonts w:cs="David"/>
          <w:rtl/>
        </w:rPr>
      </w:pPr>
    </w:p>
    <w:p w:rsidR="00C7505B" w:rsidRDefault="00C7505B">
      <w:pPr>
        <w:pStyle w:val="Heading3"/>
        <w:numPr>
          <w:ilvl w:val="0"/>
          <w:numId w:val="0"/>
        </w:numPr>
        <w:ind w:left="-873" w:right="-902"/>
        <w:rPr>
          <w:sz w:val="28"/>
          <w:szCs w:val="28"/>
          <w:rtl/>
        </w:rPr>
      </w:pPr>
      <w:r>
        <w:rPr>
          <w:sz w:val="28"/>
          <w:szCs w:val="28"/>
          <w:rtl/>
        </w:rPr>
        <w:t xml:space="preserve">3. </w:t>
      </w:r>
      <w:r>
        <w:rPr>
          <w:sz w:val="28"/>
          <w:szCs w:val="28"/>
          <w:rtl/>
        </w:rPr>
        <w:tab/>
        <w:t>ולאדימיר קאטריוק - קנדה</w:t>
      </w:r>
    </w:p>
    <w:p w:rsidR="00C7505B" w:rsidRDefault="00C7505B">
      <w:pPr>
        <w:spacing w:line="340" w:lineRule="exact"/>
        <w:ind w:right="-902"/>
        <w:rPr>
          <w:rFonts w:cs="David"/>
          <w:rtl/>
        </w:rPr>
      </w:pPr>
      <w:r>
        <w:rPr>
          <w:rFonts w:cs="David"/>
          <w:rtl/>
        </w:rPr>
        <w:t xml:space="preserve">שרת כמפקד מחלקה של הפלוגה הראשונה של בטליון משטרת הביטחון האוקראיני  118 , שביצע את רצח היהודים ואזרחים חפים מפשע במקומות שונים בבילורוסיה. </w:t>
      </w:r>
    </w:p>
    <w:p w:rsidR="00C7505B" w:rsidRDefault="00C7505B">
      <w:pPr>
        <w:spacing w:line="340" w:lineRule="exact"/>
        <w:ind w:right="-902"/>
        <w:rPr>
          <w:rFonts w:cs="David"/>
          <w:rtl/>
        </w:rPr>
      </w:pPr>
      <w:r>
        <w:rPr>
          <w:rFonts w:cs="David"/>
          <w:u w:val="single"/>
          <w:rtl/>
        </w:rPr>
        <w:t>המצב כיום</w:t>
      </w:r>
      <w:r>
        <w:rPr>
          <w:rFonts w:cs="David"/>
          <w:rtl/>
        </w:rPr>
        <w:t xml:space="preserve"> – נמלט לקנדה אחרי מלחמת העולם השניה. בשנת 1999 גילו הקנדים את עברו כמשתף פעולה עם הנאצים ושללו את אזרחותו . במאי 2007 החליטו הקנדים להשיב את אזרחותו, החלטה שאושררה על ידי בית הדין לערעורים בנובמבר 2010. ההיסטוריון הגרמני פר אנדרס רודלינג גילה, במחקר חדש, את חלקו הפעיל של קאטריוק ברצח ההמוני של תושבי הכפר קאטין, בילורוסיה וגילויו מהווה בסיס מוצק לשלילת אזרחותו שוב הפעם. </w:t>
      </w:r>
    </w:p>
    <w:p w:rsidR="00C7505B" w:rsidRDefault="00C7505B">
      <w:pPr>
        <w:spacing w:line="340" w:lineRule="exact"/>
        <w:ind w:right="-902"/>
        <w:rPr>
          <w:rFonts w:cs="David"/>
          <w:rtl/>
        </w:rPr>
      </w:pPr>
    </w:p>
    <w:p w:rsidR="00C7505B" w:rsidRDefault="00C7505B" w:rsidP="00136057">
      <w:pPr>
        <w:pStyle w:val="Heading3"/>
        <w:numPr>
          <w:ilvl w:val="0"/>
          <w:numId w:val="0"/>
        </w:numPr>
        <w:ind w:left="-873" w:right="-902"/>
        <w:rPr>
          <w:sz w:val="28"/>
          <w:szCs w:val="28"/>
          <w:rtl/>
        </w:rPr>
      </w:pPr>
      <w:r w:rsidRPr="00CE5D88">
        <w:rPr>
          <w:sz w:val="28"/>
          <w:szCs w:val="28"/>
          <w:rtl/>
        </w:rPr>
        <w:t>4.</w:t>
      </w:r>
      <w:r>
        <w:rPr>
          <w:sz w:val="28"/>
          <w:szCs w:val="28"/>
          <w:rtl/>
        </w:rPr>
        <w:t xml:space="preserve"> </w:t>
      </w:r>
      <w:r>
        <w:rPr>
          <w:sz w:val="28"/>
          <w:szCs w:val="28"/>
          <w:rtl/>
        </w:rPr>
        <w:tab/>
      </w:r>
      <w:r w:rsidRPr="00CE5D88">
        <w:rPr>
          <w:sz w:val="28"/>
          <w:szCs w:val="28"/>
          <w:rtl/>
        </w:rPr>
        <w:t>הנס (אנטאנס) ליפשי</w:t>
      </w:r>
      <w:r>
        <w:rPr>
          <w:sz w:val="28"/>
          <w:szCs w:val="28"/>
          <w:rtl/>
        </w:rPr>
        <w:t>ס</w:t>
      </w:r>
      <w:r w:rsidRPr="00CE5D88">
        <w:rPr>
          <w:sz w:val="28"/>
          <w:szCs w:val="28"/>
          <w:rtl/>
        </w:rPr>
        <w:t xml:space="preserve"> – גרמניה </w:t>
      </w:r>
    </w:p>
    <w:p w:rsidR="00C7505B" w:rsidRPr="00880CE3" w:rsidRDefault="00C7505B" w:rsidP="00136057">
      <w:pPr>
        <w:spacing w:line="340" w:lineRule="exact"/>
        <w:rPr>
          <w:rFonts w:cs="David"/>
          <w:rtl/>
        </w:rPr>
      </w:pPr>
      <w:r w:rsidRPr="00880CE3">
        <w:rPr>
          <w:rFonts w:cs="David"/>
          <w:rtl/>
        </w:rPr>
        <w:t xml:space="preserve">שרת בס.ס. – </w:t>
      </w:r>
      <w:r>
        <w:rPr>
          <w:rFonts w:cs="David"/>
          <w:rtl/>
        </w:rPr>
        <w:t xml:space="preserve">טוטנקופף שטורמבאן (יחידת גולגלות </w:t>
      </w:r>
      <w:r w:rsidRPr="00880CE3">
        <w:rPr>
          <w:rFonts w:cs="David"/>
          <w:rtl/>
        </w:rPr>
        <w:t>המוות</w:t>
      </w:r>
      <w:r>
        <w:rPr>
          <w:rFonts w:cs="David"/>
        </w:rPr>
        <w:t>(</w:t>
      </w:r>
      <w:r w:rsidRPr="00880CE3">
        <w:rPr>
          <w:rFonts w:cs="David"/>
          <w:rtl/>
        </w:rPr>
        <w:t xml:space="preserve"> מאוקטובר 1941 עד 1945 במחנה המוות אושוויץ-בירקנאו שם השתתף ברצח ההמוני וברדיפת אזרחים חפים מפשע, בעיקר יהודים. </w:t>
      </w:r>
    </w:p>
    <w:p w:rsidR="00C7505B" w:rsidRPr="00880CE3" w:rsidRDefault="00C7505B" w:rsidP="00880CE3">
      <w:pPr>
        <w:spacing w:line="340" w:lineRule="exact"/>
        <w:rPr>
          <w:rFonts w:cs="David"/>
          <w:rtl/>
        </w:rPr>
      </w:pPr>
      <w:r w:rsidRPr="00880CE3">
        <w:rPr>
          <w:rFonts w:cs="David"/>
          <w:u w:val="single"/>
          <w:rtl/>
        </w:rPr>
        <w:t>המצב כיום</w:t>
      </w:r>
      <w:r w:rsidRPr="00880CE3">
        <w:rPr>
          <w:rFonts w:cs="David"/>
          <w:rtl/>
        </w:rPr>
        <w:t xml:space="preserve"> – אחרי המלחמה נמלט  לארצות הברית אך גורש על יד</w:t>
      </w:r>
      <w:r>
        <w:rPr>
          <w:rFonts w:cs="David"/>
          <w:rtl/>
        </w:rPr>
        <w:t xml:space="preserve">י המשרד לחקירות מיוחדות לגרמניה באפריל 1983. כעת נחקר על ידי שלטונות גרמניה בשל מעשיו במחנה המוות הנאצי. </w:t>
      </w:r>
      <w:r w:rsidRPr="00880CE3">
        <w:rPr>
          <w:rFonts w:cs="David"/>
          <w:rtl/>
        </w:rPr>
        <w:t xml:space="preserve"> </w:t>
      </w:r>
    </w:p>
    <w:p w:rsidR="00C7505B" w:rsidRPr="00880CE3" w:rsidRDefault="00C7505B" w:rsidP="00880CE3">
      <w:pPr>
        <w:spacing w:line="340" w:lineRule="exact"/>
        <w:rPr>
          <w:rFonts w:cs="David"/>
          <w:rtl/>
        </w:rPr>
      </w:pPr>
    </w:p>
    <w:p w:rsidR="00C7505B" w:rsidRDefault="00C7505B" w:rsidP="002328E2">
      <w:pPr>
        <w:pStyle w:val="Heading3"/>
        <w:numPr>
          <w:ilvl w:val="0"/>
          <w:numId w:val="0"/>
        </w:numPr>
        <w:ind w:left="-873" w:right="-902"/>
        <w:rPr>
          <w:sz w:val="28"/>
          <w:szCs w:val="28"/>
          <w:rtl/>
        </w:rPr>
      </w:pPr>
      <w:r>
        <w:rPr>
          <w:sz w:val="28"/>
          <w:szCs w:val="28"/>
          <w:rtl/>
        </w:rPr>
        <w:t>5.</w:t>
      </w:r>
      <w:r>
        <w:rPr>
          <w:sz w:val="28"/>
          <w:szCs w:val="28"/>
          <w:rtl/>
        </w:rPr>
        <w:tab/>
        <w:t>איבאן (ג'ון) קאלימון – ארה"ב</w:t>
      </w:r>
    </w:p>
    <w:p w:rsidR="00C7505B" w:rsidRDefault="00C7505B" w:rsidP="00880CE3">
      <w:pPr>
        <w:spacing w:line="340" w:lineRule="exact"/>
        <w:rPr>
          <w:rFonts w:cs="David"/>
          <w:rtl/>
        </w:rPr>
      </w:pPr>
      <w:r>
        <w:rPr>
          <w:rFonts w:cs="David"/>
          <w:rtl/>
        </w:rPr>
        <w:t xml:space="preserve">שרת בלבוב (אז בפולין שנכבשה ע"י גרמניה וכיום אוקראינה) במשטרת הבטחון האוקראינית שבשליטת הנאצים בשנים 1941-1944 ובמהלך שנים אלה השתתף ברצח, ריכוז וגרוש יהודים שחיו בגטו לבוב למחנות ריכוז ומוות. </w:t>
      </w:r>
    </w:p>
    <w:p w:rsidR="00C7505B" w:rsidRDefault="00C7505B" w:rsidP="00880CE3">
      <w:pPr>
        <w:spacing w:line="340" w:lineRule="exact"/>
        <w:rPr>
          <w:rFonts w:cs="David"/>
          <w:rtl/>
        </w:rPr>
      </w:pPr>
      <w:r>
        <w:rPr>
          <w:rFonts w:cs="David"/>
          <w:u w:val="single"/>
          <w:rtl/>
        </w:rPr>
        <w:t>המצב כיום</w:t>
      </w:r>
      <w:r>
        <w:rPr>
          <w:rFonts w:cs="David"/>
          <w:rtl/>
        </w:rPr>
        <w:t xml:space="preserve"> – ב-31 בינואר, 2011, הוצא לקאלימון צו גרוש מארה"ב  לגרמניה, אוקראינה, פולין או כל מדינה אחרת שתסכים לקבלו, בשל הסתרת שירותו בכוחות ששיתפו פעולה עם גרמניה הנאצית בזמן המלחמה והשתתפותו בפעולות אלימות של הוצאה להורג. עד כה לא נמצאה מדינה כזו ולכן הוא נשאר בארה"ב.</w:t>
      </w:r>
    </w:p>
    <w:p w:rsidR="00C7505B" w:rsidRDefault="00C7505B" w:rsidP="002328E2">
      <w:pPr>
        <w:rPr>
          <w:rtl/>
        </w:rPr>
      </w:pPr>
    </w:p>
    <w:p w:rsidR="00C7505B" w:rsidRDefault="00C7505B" w:rsidP="002328E2">
      <w:pPr>
        <w:pStyle w:val="Heading3"/>
        <w:numPr>
          <w:ilvl w:val="0"/>
          <w:numId w:val="0"/>
        </w:numPr>
        <w:ind w:left="-873" w:right="-902"/>
        <w:rPr>
          <w:sz w:val="28"/>
          <w:szCs w:val="28"/>
          <w:rtl/>
        </w:rPr>
      </w:pPr>
      <w:r>
        <w:rPr>
          <w:sz w:val="28"/>
          <w:szCs w:val="28"/>
          <w:rtl/>
        </w:rPr>
        <w:t>6.</w:t>
      </w:r>
      <w:r>
        <w:rPr>
          <w:sz w:val="28"/>
          <w:szCs w:val="28"/>
          <w:rtl/>
        </w:rPr>
        <w:tab/>
        <w:t>סוראן קאם – גרמניה</w:t>
      </w:r>
    </w:p>
    <w:p w:rsidR="00C7505B" w:rsidRDefault="00C7505B" w:rsidP="002328E2">
      <w:pPr>
        <w:spacing w:line="340" w:lineRule="exact"/>
        <w:ind w:right="-902"/>
        <w:rPr>
          <w:rFonts w:cs="David"/>
          <w:rtl/>
        </w:rPr>
      </w:pPr>
      <w:r>
        <w:rPr>
          <w:rFonts w:cs="David"/>
          <w:rtl/>
        </w:rPr>
        <w:t xml:space="preserve">התנדב ליחידת הס.ס. ויקינג ושירת בה כקצין; השתתף ברצח קארל הנריק קלמנסן, עורך עיתון אנטי-נאצי </w:t>
      </w:r>
      <w:r>
        <w:rPr>
          <w:rFonts w:cs="David"/>
          <w:u w:val="single"/>
          <w:rtl/>
        </w:rPr>
        <w:t>המצב כיום</w:t>
      </w:r>
      <w:r>
        <w:rPr>
          <w:rFonts w:cs="David"/>
          <w:rtl/>
        </w:rPr>
        <w:t xml:space="preserve"> – ב-1999 ביקשה דמנרק מגרמניה את הסגרתו של קאם אך גרמניה סירב לאשר את הסגרתו בשל אזרחותו הגרמנית. בתחילת 2007 נדחתה בקשת הסגרה נוספת בטענה שמותו של קלמנסן לא נחשב לרצח אלא להריגה עליה חלה התיישנות. המאמצים להעמדת קאם לדין בגרמניה או דנמרק נמשכים. </w:t>
      </w:r>
    </w:p>
    <w:p w:rsidR="00C7505B" w:rsidRPr="00CE5D88" w:rsidRDefault="00C7505B" w:rsidP="00CE5D88">
      <w:pPr>
        <w:spacing w:line="340" w:lineRule="exact"/>
        <w:ind w:right="-902"/>
        <w:rPr>
          <w:rFonts w:cs="David"/>
          <w:rtl/>
        </w:rPr>
      </w:pPr>
    </w:p>
    <w:p w:rsidR="00C7505B" w:rsidRDefault="00C7505B">
      <w:pPr>
        <w:rPr>
          <w:rFonts w:cs="David"/>
          <w:rtl/>
        </w:rPr>
      </w:pPr>
    </w:p>
    <w:p w:rsidR="00C7505B" w:rsidRDefault="00C7505B">
      <w:pPr>
        <w:pStyle w:val="Heading3"/>
        <w:numPr>
          <w:ilvl w:val="0"/>
          <w:numId w:val="0"/>
        </w:numPr>
        <w:ind w:left="-873" w:right="-902"/>
        <w:rPr>
          <w:sz w:val="28"/>
          <w:szCs w:val="28"/>
          <w:rtl/>
        </w:rPr>
      </w:pPr>
      <w:r>
        <w:rPr>
          <w:sz w:val="28"/>
          <w:szCs w:val="28"/>
          <w:rtl/>
        </w:rPr>
        <w:t>7.</w:t>
      </w:r>
      <w:r>
        <w:rPr>
          <w:sz w:val="28"/>
          <w:szCs w:val="28"/>
          <w:rtl/>
        </w:rPr>
        <w:tab/>
        <w:t>אלגימאנטאס דאילידה – גרמניה</w:t>
      </w:r>
    </w:p>
    <w:p w:rsidR="00C7505B" w:rsidRDefault="00C7505B">
      <w:pPr>
        <w:spacing w:line="340" w:lineRule="exact"/>
        <w:ind w:right="-902"/>
        <w:rPr>
          <w:rFonts w:cs="David"/>
          <w:rtl/>
        </w:rPr>
      </w:pPr>
      <w:r>
        <w:rPr>
          <w:rFonts w:cs="David"/>
          <w:rtl/>
        </w:rPr>
        <w:t>שרת ב</w:t>
      </w:r>
      <w:r>
        <w:rPr>
          <w:rFonts w:cs="David"/>
          <w:u w:val="single"/>
          <w:rtl/>
        </w:rPr>
        <w:t>סאוגומאס</w:t>
      </w:r>
      <w:r>
        <w:rPr>
          <w:rFonts w:cs="David"/>
          <w:rtl/>
        </w:rPr>
        <w:t xml:space="preserve"> (משטרת הביטחון הליטאית) במחוז וילנה; צד יהודים ופולנים שברחו מגיטו וילנה, שהוצאו אח"כ להורג על ידי נאצים ומשתפי פעולה ליטאים.</w:t>
      </w:r>
    </w:p>
    <w:p w:rsidR="00C7505B" w:rsidRDefault="00C7505B">
      <w:pPr>
        <w:spacing w:line="340" w:lineRule="exact"/>
        <w:ind w:right="-902"/>
        <w:rPr>
          <w:rFonts w:cs="David"/>
          <w:rtl/>
        </w:rPr>
      </w:pPr>
      <w:r>
        <w:rPr>
          <w:rFonts w:cs="David"/>
          <w:u w:val="single"/>
          <w:rtl/>
        </w:rPr>
        <w:t>המצב כיום</w:t>
      </w:r>
      <w:r>
        <w:rPr>
          <w:rFonts w:cs="David"/>
          <w:rtl/>
        </w:rPr>
        <w:t xml:space="preserve"> – ב-1997 נשללה אזרחותו האמריקאית וב-2004 הוא גורש מארה"ב בטענה שכשביקש אזרחות הסתיר את שירותו ב</w:t>
      </w:r>
      <w:r>
        <w:rPr>
          <w:rFonts w:cs="David"/>
          <w:u w:val="single"/>
          <w:rtl/>
        </w:rPr>
        <w:t>סאוגומאס</w:t>
      </w:r>
      <w:r>
        <w:rPr>
          <w:rFonts w:cs="David"/>
          <w:rtl/>
        </w:rPr>
        <w:t xml:space="preserve"> בזמן המלחמה. ב-2006 הוא הורשע בליטא על מאסר 12 יהודים שניסו להימלט מגיטו וילנה והוצאו אח"כ להורג, ונדון לחמש שנות מאסר. השופטים סירבו לאכוף את עונש המאסר נגדו מפאת גילו המתקדם והעובדה שטיפל באשתו החולה ו"אינו מהווה סכנה לציבור." ביולי 2008, בתגובה לעתירה שהוגשה נגד הסירוב להפעיל את העונש, דאילידה הוכרז כבלתי כשיר לשאת בעונשו מפאת מצבו הרפואי, מבלי שנבדק על ידי הרופאים שסיפקו את האבחנה הזו. </w:t>
      </w:r>
    </w:p>
    <w:p w:rsidR="00C7505B" w:rsidRDefault="00C7505B">
      <w:pPr>
        <w:pStyle w:val="Heading3"/>
        <w:numPr>
          <w:ilvl w:val="0"/>
          <w:numId w:val="0"/>
        </w:numPr>
        <w:ind w:left="-873" w:right="-902"/>
        <w:rPr>
          <w:sz w:val="28"/>
          <w:szCs w:val="28"/>
          <w:rtl/>
        </w:rPr>
      </w:pPr>
    </w:p>
    <w:p w:rsidR="00C7505B" w:rsidRDefault="00C7505B">
      <w:pPr>
        <w:pStyle w:val="Heading3"/>
        <w:numPr>
          <w:ilvl w:val="0"/>
          <w:numId w:val="0"/>
        </w:numPr>
        <w:ind w:left="-873" w:right="-902"/>
        <w:rPr>
          <w:sz w:val="28"/>
          <w:szCs w:val="28"/>
          <w:rtl/>
        </w:rPr>
      </w:pPr>
      <w:r>
        <w:rPr>
          <w:sz w:val="28"/>
          <w:szCs w:val="28"/>
          <w:rtl/>
        </w:rPr>
        <w:t>8.</w:t>
      </w:r>
      <w:r>
        <w:rPr>
          <w:sz w:val="28"/>
          <w:szCs w:val="28"/>
          <w:rtl/>
        </w:rPr>
        <w:tab/>
        <w:t>מיכאל גורשקו – אסטוניה</w:t>
      </w:r>
    </w:p>
    <w:p w:rsidR="00C7505B" w:rsidRDefault="00C7505B">
      <w:pPr>
        <w:spacing w:line="340" w:lineRule="exact"/>
        <w:ind w:right="-902"/>
        <w:rPr>
          <w:rFonts w:cs="David"/>
          <w:rtl/>
        </w:rPr>
      </w:pPr>
      <w:r>
        <w:rPr>
          <w:rFonts w:cs="David"/>
          <w:rtl/>
        </w:rPr>
        <w:t xml:space="preserve">שרת בגסטפו בבילורוסיה כמתרגם ונאשם בהשתתפות ברצח המוני של יהודים בסלוצק. </w:t>
      </w:r>
    </w:p>
    <w:p w:rsidR="00C7505B" w:rsidRDefault="00C7505B">
      <w:pPr>
        <w:spacing w:line="340" w:lineRule="exact"/>
        <w:ind w:right="-902"/>
        <w:rPr>
          <w:rFonts w:cs="David"/>
          <w:rtl/>
        </w:rPr>
      </w:pPr>
      <w:r>
        <w:rPr>
          <w:rFonts w:cs="David"/>
          <w:u w:val="single"/>
          <w:rtl/>
        </w:rPr>
        <w:t>המצב כיום</w:t>
      </w:r>
      <w:r>
        <w:rPr>
          <w:rFonts w:cs="David"/>
          <w:rtl/>
        </w:rPr>
        <w:t xml:space="preserve"> – ברח מארה"ב  לאסטוניה לפני שנשללה את אזרחותו באשמה שהסתיר את חלקו בשרות בעבור הנאצים במלחמה; אסטוניה ניהלה חקירה נגדו מאז בואו לפני שנים מספר, אך באוקטובר 2011 החקירה נסגרה בטענה שמדובר ב"טעות בזיהוי." ארה"ב, רוסיה ומרכז שמעון ויזנטל מחו נמרצות נגד ההחלטה. </w:t>
      </w:r>
    </w:p>
    <w:p w:rsidR="00C7505B" w:rsidRDefault="00C7505B">
      <w:pPr>
        <w:spacing w:line="340" w:lineRule="exact"/>
        <w:ind w:right="-902"/>
        <w:rPr>
          <w:rFonts w:cs="David"/>
          <w:rtl/>
        </w:rPr>
      </w:pPr>
    </w:p>
    <w:p w:rsidR="00C7505B" w:rsidRPr="002328E2" w:rsidRDefault="00C7505B" w:rsidP="00600D1D">
      <w:pPr>
        <w:pStyle w:val="Heading3"/>
        <w:numPr>
          <w:ilvl w:val="0"/>
          <w:numId w:val="0"/>
        </w:numPr>
        <w:ind w:left="-873" w:right="-902"/>
        <w:rPr>
          <w:sz w:val="28"/>
          <w:szCs w:val="28"/>
          <w:rtl/>
        </w:rPr>
      </w:pPr>
      <w:r w:rsidRPr="002328E2">
        <w:rPr>
          <w:sz w:val="28"/>
          <w:szCs w:val="28"/>
          <w:rtl/>
        </w:rPr>
        <w:t xml:space="preserve">9. </w:t>
      </w:r>
      <w:r>
        <w:rPr>
          <w:sz w:val="28"/>
          <w:szCs w:val="28"/>
          <w:rtl/>
        </w:rPr>
        <w:tab/>
        <w:t>תיאודור שח</w:t>
      </w:r>
      <w:r w:rsidRPr="002328E2">
        <w:rPr>
          <w:sz w:val="28"/>
          <w:szCs w:val="28"/>
          <w:rtl/>
        </w:rPr>
        <w:t>ינ</w:t>
      </w:r>
      <w:r>
        <w:rPr>
          <w:sz w:val="28"/>
          <w:szCs w:val="28"/>
          <w:rtl/>
        </w:rPr>
        <w:t>ס</w:t>
      </w:r>
      <w:r w:rsidRPr="002328E2">
        <w:rPr>
          <w:sz w:val="28"/>
          <w:szCs w:val="28"/>
          <w:rtl/>
        </w:rPr>
        <w:t>קי – ארה"ב</w:t>
      </w:r>
    </w:p>
    <w:p w:rsidR="00C7505B" w:rsidRDefault="00C7505B" w:rsidP="00136057">
      <w:pPr>
        <w:spacing w:line="340" w:lineRule="exact"/>
        <w:ind w:right="-902"/>
        <w:rPr>
          <w:rFonts w:cs="David"/>
          <w:rtl/>
        </w:rPr>
      </w:pPr>
      <w:r>
        <w:rPr>
          <w:rFonts w:cs="David"/>
          <w:rtl/>
        </w:rPr>
        <w:t xml:space="preserve">שרת כשומר ס.ס. חמוש ביחידת גולגלות המוות במחנות הריכוז בגרוס רוזן (פולין), זקסנהאוזן (גרמניה) </w:t>
      </w:r>
    </w:p>
    <w:p w:rsidR="00C7505B" w:rsidRDefault="00C7505B" w:rsidP="00136057">
      <w:pPr>
        <w:spacing w:line="340" w:lineRule="exact"/>
        <w:ind w:right="-902"/>
        <w:rPr>
          <w:rFonts w:cs="David"/>
          <w:rtl/>
        </w:rPr>
      </w:pPr>
      <w:r>
        <w:rPr>
          <w:rFonts w:cs="David"/>
          <w:rtl/>
        </w:rPr>
        <w:t xml:space="preserve">ובוורשה (פולין) והשתתף באופן פעיל ברדיפת אסירים אזרחיים. </w:t>
      </w:r>
    </w:p>
    <w:p w:rsidR="00C7505B" w:rsidRDefault="00C7505B" w:rsidP="005320E0">
      <w:pPr>
        <w:spacing w:line="340" w:lineRule="exact"/>
        <w:ind w:right="-902"/>
        <w:rPr>
          <w:rFonts w:cs="David"/>
          <w:rtl/>
        </w:rPr>
      </w:pPr>
      <w:r>
        <w:rPr>
          <w:rFonts w:cs="David"/>
          <w:rtl/>
        </w:rPr>
        <w:t xml:space="preserve">המצב כיום – נמלט לארה"ב אחרי מלחמת העולם השניה אך אזרחותו האמריקנית נשללה ממנו אחרי 2000 בידי המשרד לחקירות מיוחדות והוחלט לגרשו ב-2003. עד היום לא נמצאה אף מדינה שמוכנה לקבלו ולכן נשאר בינתיים בארה"ב. </w:t>
      </w:r>
    </w:p>
    <w:p w:rsidR="00C7505B" w:rsidRDefault="00C7505B">
      <w:pPr>
        <w:spacing w:line="340" w:lineRule="exact"/>
        <w:ind w:right="-902"/>
        <w:rPr>
          <w:rFonts w:cs="David"/>
          <w:rtl/>
        </w:rPr>
      </w:pPr>
    </w:p>
    <w:p w:rsidR="00C7505B" w:rsidRDefault="00C7505B">
      <w:pPr>
        <w:pStyle w:val="Heading3"/>
        <w:numPr>
          <w:ilvl w:val="0"/>
          <w:numId w:val="0"/>
        </w:numPr>
        <w:ind w:left="-873" w:right="-902"/>
        <w:rPr>
          <w:sz w:val="28"/>
          <w:szCs w:val="28"/>
          <w:rtl/>
        </w:rPr>
      </w:pPr>
      <w:r>
        <w:rPr>
          <w:sz w:val="28"/>
          <w:szCs w:val="28"/>
          <w:rtl/>
        </w:rPr>
        <w:t>10.</w:t>
      </w:r>
      <w:r>
        <w:rPr>
          <w:sz w:val="28"/>
          <w:szCs w:val="28"/>
          <w:rtl/>
        </w:rPr>
        <w:tab/>
        <w:t>הלמוט אוברלאנדר – קנדה</w:t>
      </w:r>
    </w:p>
    <w:p w:rsidR="00C7505B" w:rsidRDefault="00C7505B">
      <w:pPr>
        <w:spacing w:line="340" w:lineRule="exact"/>
        <w:ind w:right="-902"/>
        <w:rPr>
          <w:rFonts w:cs="David"/>
          <w:rtl/>
        </w:rPr>
      </w:pPr>
      <w:r>
        <w:rPr>
          <w:rFonts w:cs="David"/>
          <w:rtl/>
        </w:rPr>
        <w:t>שרת באיינזצקומנדו 10</w:t>
      </w:r>
      <w:r>
        <w:rPr>
          <w:rFonts w:cs="David"/>
        </w:rPr>
        <w:t>A</w:t>
      </w:r>
      <w:r>
        <w:rPr>
          <w:rFonts w:cs="David"/>
          <w:rtl/>
        </w:rPr>
        <w:t xml:space="preserve"> (חלק מאיינזצגרופן </w:t>
      </w:r>
      <w:r>
        <w:rPr>
          <w:rFonts w:cs="David"/>
        </w:rPr>
        <w:t>D</w:t>
      </w:r>
      <w:r>
        <w:rPr>
          <w:rFonts w:cs="David"/>
          <w:rtl/>
        </w:rPr>
        <w:t xml:space="preserve">) שפעל בדרום אוקראינה וקרים ורצח, לפי השערה, למעלה מ 23,000 אנשים, רובם יהודים. </w:t>
      </w:r>
    </w:p>
    <w:p w:rsidR="00C7505B" w:rsidRDefault="00C7505B" w:rsidP="00136057">
      <w:pPr>
        <w:spacing w:line="340" w:lineRule="exact"/>
        <w:ind w:right="-902"/>
        <w:rPr>
          <w:rFonts w:cs="David"/>
          <w:rtl/>
        </w:rPr>
      </w:pPr>
      <w:r>
        <w:rPr>
          <w:rFonts w:cs="David"/>
          <w:u w:val="single"/>
          <w:rtl/>
        </w:rPr>
        <w:t>המצב כיום</w:t>
      </w:r>
      <w:r>
        <w:rPr>
          <w:rFonts w:cs="David"/>
          <w:rtl/>
        </w:rPr>
        <w:t xml:space="preserve"> – ברח לקנדה אחרי מלחמת העולם השנייה, אך ב-2001 שללו הקנדים את אזרחותו לאחר שהתגלה עברו בשרות הנאצים. במאי 2004 הושבה אזרחותו אך נשללה בשנית במאי 2007, ושוב הוחזרה לו ע"י בית הדין לערעורים בנובמבר 2009. ב27 בספטמבר, 2012, נשללה שוב אזרחותו בהתאם לפקודה </w:t>
      </w:r>
    </w:p>
    <w:p w:rsidR="00C7505B" w:rsidRDefault="00C7505B" w:rsidP="00136057">
      <w:pPr>
        <w:spacing w:line="340" w:lineRule="exact"/>
        <w:ind w:right="-902"/>
        <w:rPr>
          <w:rFonts w:cs="David"/>
          <w:rtl/>
        </w:rPr>
      </w:pPr>
      <w:r>
        <w:rPr>
          <w:rFonts w:cs="David"/>
          <w:rtl/>
        </w:rPr>
        <w:t xml:space="preserve">2012-1137. כרגע הוא מערער על ההחלטה בפני בית המשפט הפדרלי בקנדה.  </w:t>
      </w:r>
    </w:p>
    <w:p w:rsidR="00C7505B" w:rsidRDefault="00C7505B">
      <w:pPr>
        <w:spacing w:line="340" w:lineRule="exact"/>
        <w:ind w:right="-902"/>
        <w:rPr>
          <w:rFonts w:cs="David"/>
          <w:rtl/>
        </w:rPr>
      </w:pPr>
    </w:p>
    <w:p w:rsidR="00C7505B" w:rsidRDefault="00C7505B">
      <w:pPr>
        <w:spacing w:line="340" w:lineRule="exact"/>
        <w:ind w:right="-902"/>
        <w:rPr>
          <w:rFonts w:cs="David"/>
          <w:rtl/>
        </w:rPr>
      </w:pPr>
    </w:p>
    <w:p w:rsidR="00C7505B" w:rsidRDefault="00C7505B">
      <w:pPr>
        <w:spacing w:line="340" w:lineRule="exact"/>
        <w:ind w:left="-873" w:right="-1622"/>
        <w:rPr>
          <w:rFonts w:cs="David"/>
          <w:b/>
          <w:bCs/>
          <w:sz w:val="28"/>
          <w:szCs w:val="28"/>
          <w:rtl/>
        </w:rPr>
      </w:pPr>
    </w:p>
    <w:p w:rsidR="00C7505B" w:rsidRDefault="00C7505B">
      <w:pPr>
        <w:spacing w:line="340" w:lineRule="exact"/>
        <w:ind w:left="-873" w:right="-1622"/>
        <w:rPr>
          <w:rFonts w:cs="David"/>
          <w:b/>
          <w:bCs/>
          <w:sz w:val="28"/>
          <w:szCs w:val="28"/>
          <w:rtl/>
        </w:rPr>
      </w:pPr>
      <w:r>
        <w:rPr>
          <w:rFonts w:cs="David"/>
          <w:b/>
          <w:bCs/>
          <w:sz w:val="28"/>
          <w:szCs w:val="28"/>
          <w:rtl/>
        </w:rPr>
        <w:t xml:space="preserve">למידע נוסף בבקשה להתקשר למשרדנו: 5631273-02  או  721-4156-050 </w:t>
      </w:r>
    </w:p>
    <w:p w:rsidR="00C7505B" w:rsidRDefault="00C7505B">
      <w:pPr>
        <w:spacing w:line="340" w:lineRule="exact"/>
        <w:ind w:left="-873" w:right="-1622"/>
        <w:rPr>
          <w:rFonts w:cs="David"/>
          <w:b/>
          <w:bCs/>
          <w:sz w:val="28"/>
          <w:szCs w:val="28"/>
          <w:rtl/>
        </w:rPr>
      </w:pPr>
      <w:r>
        <w:rPr>
          <w:rFonts w:cs="David"/>
          <w:b/>
          <w:bCs/>
          <w:sz w:val="28"/>
          <w:szCs w:val="28"/>
          <w:rtl/>
        </w:rPr>
        <w:t xml:space="preserve">וכן בקרו באתרינו באינטרנט:  </w:t>
      </w:r>
      <w:hyperlink r:id="rId7" w:history="1">
        <w:r>
          <w:rPr>
            <w:rStyle w:val="Hyperlink"/>
            <w:rFonts w:cs="David"/>
            <w:b/>
            <w:bCs/>
            <w:sz w:val="28"/>
            <w:szCs w:val="28"/>
          </w:rPr>
          <w:t>www.operationlastchance.org</w:t>
        </w:r>
      </w:hyperlink>
      <w:r>
        <w:rPr>
          <w:rFonts w:cs="David"/>
          <w:b/>
          <w:bCs/>
          <w:sz w:val="28"/>
          <w:szCs w:val="28"/>
          <w:rtl/>
        </w:rPr>
        <w:t xml:space="preserve">      </w:t>
      </w:r>
      <w:hyperlink r:id="rId8" w:history="1">
        <w:r>
          <w:rPr>
            <w:rStyle w:val="Hyperlink"/>
            <w:rFonts w:cs="David"/>
            <w:b/>
            <w:bCs/>
            <w:sz w:val="28"/>
            <w:szCs w:val="28"/>
          </w:rPr>
          <w:t>www.wiesenthal.com</w:t>
        </w:r>
      </w:hyperlink>
    </w:p>
    <w:p w:rsidR="00C7505B" w:rsidRDefault="00C7505B">
      <w:pPr>
        <w:pStyle w:val="Heading3"/>
        <w:numPr>
          <w:ilvl w:val="0"/>
          <w:numId w:val="0"/>
        </w:numPr>
        <w:ind w:left="-873" w:right="-902"/>
      </w:pPr>
    </w:p>
    <w:p w:rsidR="00C7505B" w:rsidRDefault="00C7505B">
      <w:pPr>
        <w:spacing w:line="340" w:lineRule="exact"/>
        <w:ind w:left="-873" w:right="-540"/>
        <w:rPr>
          <w:rFonts w:cs="David"/>
          <w:rtl/>
        </w:rPr>
      </w:pPr>
    </w:p>
    <w:p w:rsidR="00C7505B" w:rsidRDefault="00C7505B">
      <w:pPr>
        <w:spacing w:line="360" w:lineRule="auto"/>
        <w:ind w:left="-694" w:right="-540"/>
        <w:rPr>
          <w:rFonts w:cs="David"/>
          <w:rtl/>
        </w:rPr>
      </w:pPr>
      <w:r>
        <w:rPr>
          <w:rFonts w:cs="David"/>
          <w:rtl/>
        </w:rPr>
        <w:t> </w:t>
      </w:r>
    </w:p>
    <w:p w:rsidR="00C7505B" w:rsidRDefault="00C7505B">
      <w:pPr>
        <w:spacing w:line="360" w:lineRule="auto"/>
        <w:ind w:left="-1054" w:right="-540"/>
        <w:rPr>
          <w:rFonts w:cs="David"/>
          <w:rtl/>
        </w:rPr>
      </w:pPr>
    </w:p>
    <w:sectPr w:rsidR="00C7505B" w:rsidSect="00BC7D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081"/>
    <w:multiLevelType w:val="hybridMultilevel"/>
    <w:tmpl w:val="6498AA28"/>
    <w:lvl w:ilvl="0" w:tplc="6C4E5610">
      <w:start w:val="1"/>
      <w:numFmt w:val="decimal"/>
      <w:pStyle w:val="Heading3"/>
      <w:lvlText w:val="%1."/>
      <w:lvlJc w:val="left"/>
      <w:pPr>
        <w:tabs>
          <w:tab w:val="num" w:pos="-513"/>
        </w:tabs>
        <w:ind w:left="-513" w:hanging="360"/>
      </w:pPr>
      <w:rPr>
        <w:rFonts w:cs="Times New Roman"/>
      </w:rPr>
    </w:lvl>
    <w:lvl w:ilvl="1" w:tplc="040D0019">
      <w:start w:val="1"/>
      <w:numFmt w:val="decimal"/>
      <w:lvlText w:val="%2."/>
      <w:lvlJc w:val="left"/>
      <w:pPr>
        <w:tabs>
          <w:tab w:val="num" w:pos="1440"/>
        </w:tabs>
        <w:ind w:left="1440" w:hanging="360"/>
      </w:pPr>
      <w:rPr>
        <w:rFonts w:cs="Times New Roman"/>
      </w:rPr>
    </w:lvl>
    <w:lvl w:ilvl="2" w:tplc="040D001B">
      <w:start w:val="1"/>
      <w:numFmt w:val="decimal"/>
      <w:lvlText w:val="%3."/>
      <w:lvlJc w:val="left"/>
      <w:pPr>
        <w:tabs>
          <w:tab w:val="num" w:pos="2160"/>
        </w:tabs>
        <w:ind w:left="2160" w:hanging="36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decimal"/>
      <w:lvlText w:val="%5."/>
      <w:lvlJc w:val="left"/>
      <w:pPr>
        <w:tabs>
          <w:tab w:val="num" w:pos="3600"/>
        </w:tabs>
        <w:ind w:left="3600" w:hanging="360"/>
      </w:pPr>
      <w:rPr>
        <w:rFonts w:cs="Times New Roman"/>
      </w:rPr>
    </w:lvl>
    <w:lvl w:ilvl="5" w:tplc="040D001B">
      <w:start w:val="1"/>
      <w:numFmt w:val="decimal"/>
      <w:lvlText w:val="%6."/>
      <w:lvlJc w:val="left"/>
      <w:pPr>
        <w:tabs>
          <w:tab w:val="num" w:pos="4320"/>
        </w:tabs>
        <w:ind w:left="4320" w:hanging="36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decimal"/>
      <w:lvlText w:val="%8."/>
      <w:lvlJc w:val="left"/>
      <w:pPr>
        <w:tabs>
          <w:tab w:val="num" w:pos="5760"/>
        </w:tabs>
        <w:ind w:left="5760" w:hanging="360"/>
      </w:pPr>
      <w:rPr>
        <w:rFonts w:cs="Times New Roman"/>
      </w:rPr>
    </w:lvl>
    <w:lvl w:ilvl="8" w:tplc="040D001B">
      <w:start w:val="1"/>
      <w:numFmt w:val="decimal"/>
      <w:lvlText w:val="%9."/>
      <w:lvlJc w:val="left"/>
      <w:pPr>
        <w:tabs>
          <w:tab w:val="num" w:pos="6480"/>
        </w:tabs>
        <w:ind w:left="6480" w:hanging="360"/>
      </w:pPr>
      <w:rPr>
        <w:rFonts w:cs="Times New Roman"/>
      </w:rPr>
    </w:lvl>
  </w:abstractNum>
  <w:abstractNum w:abstractNumId="1">
    <w:nsid w:val="33B43C09"/>
    <w:multiLevelType w:val="hybridMultilevel"/>
    <w:tmpl w:val="A2507F1E"/>
    <w:lvl w:ilvl="0" w:tplc="7AEE7316">
      <w:start w:val="1"/>
      <w:numFmt w:val="decimal"/>
      <w:lvlText w:val="%1."/>
      <w:lvlJc w:val="left"/>
      <w:pPr>
        <w:tabs>
          <w:tab w:val="num" w:pos="-3"/>
        </w:tabs>
        <w:ind w:left="-3" w:hanging="870"/>
      </w:pPr>
      <w:rPr>
        <w:rFonts w:cs="Times New Roman" w:hint="cs"/>
      </w:rPr>
    </w:lvl>
    <w:lvl w:ilvl="1" w:tplc="040D0019" w:tentative="1">
      <w:start w:val="1"/>
      <w:numFmt w:val="lowerLetter"/>
      <w:lvlText w:val="%2."/>
      <w:lvlJc w:val="left"/>
      <w:pPr>
        <w:tabs>
          <w:tab w:val="num" w:pos="207"/>
        </w:tabs>
        <w:ind w:left="207" w:hanging="360"/>
      </w:pPr>
      <w:rPr>
        <w:rFonts w:cs="Times New Roman"/>
      </w:rPr>
    </w:lvl>
    <w:lvl w:ilvl="2" w:tplc="040D001B" w:tentative="1">
      <w:start w:val="1"/>
      <w:numFmt w:val="lowerRoman"/>
      <w:lvlText w:val="%3."/>
      <w:lvlJc w:val="right"/>
      <w:pPr>
        <w:tabs>
          <w:tab w:val="num" w:pos="927"/>
        </w:tabs>
        <w:ind w:left="927" w:hanging="180"/>
      </w:pPr>
      <w:rPr>
        <w:rFonts w:cs="Times New Roman"/>
      </w:rPr>
    </w:lvl>
    <w:lvl w:ilvl="3" w:tplc="040D000F" w:tentative="1">
      <w:start w:val="1"/>
      <w:numFmt w:val="decimal"/>
      <w:lvlText w:val="%4."/>
      <w:lvlJc w:val="left"/>
      <w:pPr>
        <w:tabs>
          <w:tab w:val="num" w:pos="1647"/>
        </w:tabs>
        <w:ind w:left="1647" w:hanging="360"/>
      </w:pPr>
      <w:rPr>
        <w:rFonts w:cs="Times New Roman"/>
      </w:rPr>
    </w:lvl>
    <w:lvl w:ilvl="4" w:tplc="040D0019" w:tentative="1">
      <w:start w:val="1"/>
      <w:numFmt w:val="lowerLetter"/>
      <w:lvlText w:val="%5."/>
      <w:lvlJc w:val="left"/>
      <w:pPr>
        <w:tabs>
          <w:tab w:val="num" w:pos="2367"/>
        </w:tabs>
        <w:ind w:left="2367" w:hanging="360"/>
      </w:pPr>
      <w:rPr>
        <w:rFonts w:cs="Times New Roman"/>
      </w:rPr>
    </w:lvl>
    <w:lvl w:ilvl="5" w:tplc="040D001B" w:tentative="1">
      <w:start w:val="1"/>
      <w:numFmt w:val="lowerRoman"/>
      <w:lvlText w:val="%6."/>
      <w:lvlJc w:val="right"/>
      <w:pPr>
        <w:tabs>
          <w:tab w:val="num" w:pos="3087"/>
        </w:tabs>
        <w:ind w:left="3087" w:hanging="180"/>
      </w:pPr>
      <w:rPr>
        <w:rFonts w:cs="Times New Roman"/>
      </w:rPr>
    </w:lvl>
    <w:lvl w:ilvl="6" w:tplc="040D000F" w:tentative="1">
      <w:start w:val="1"/>
      <w:numFmt w:val="decimal"/>
      <w:lvlText w:val="%7."/>
      <w:lvlJc w:val="left"/>
      <w:pPr>
        <w:tabs>
          <w:tab w:val="num" w:pos="3807"/>
        </w:tabs>
        <w:ind w:left="3807" w:hanging="360"/>
      </w:pPr>
      <w:rPr>
        <w:rFonts w:cs="Times New Roman"/>
      </w:rPr>
    </w:lvl>
    <w:lvl w:ilvl="7" w:tplc="040D0019" w:tentative="1">
      <w:start w:val="1"/>
      <w:numFmt w:val="lowerLetter"/>
      <w:lvlText w:val="%8."/>
      <w:lvlJc w:val="left"/>
      <w:pPr>
        <w:tabs>
          <w:tab w:val="num" w:pos="4527"/>
        </w:tabs>
        <w:ind w:left="4527" w:hanging="360"/>
      </w:pPr>
      <w:rPr>
        <w:rFonts w:cs="Times New Roman"/>
      </w:rPr>
    </w:lvl>
    <w:lvl w:ilvl="8" w:tplc="040D001B" w:tentative="1">
      <w:start w:val="1"/>
      <w:numFmt w:val="lowerRoman"/>
      <w:lvlText w:val="%9."/>
      <w:lvlJc w:val="right"/>
      <w:pPr>
        <w:tabs>
          <w:tab w:val="num" w:pos="5247"/>
        </w:tabs>
        <w:ind w:left="5247" w:hanging="180"/>
      </w:pPr>
      <w:rPr>
        <w:rFonts w:cs="Times New Roman"/>
      </w:rPr>
    </w:lvl>
  </w:abstractNum>
  <w:abstractNum w:abstractNumId="2">
    <w:nsid w:val="33C41192"/>
    <w:multiLevelType w:val="hybridMultilevel"/>
    <w:tmpl w:val="3156FE9C"/>
    <w:lvl w:ilvl="0" w:tplc="3C5CE2E0">
      <w:start w:val="1"/>
      <w:numFmt w:val="decimal"/>
      <w:lvlText w:val="%1."/>
      <w:lvlJc w:val="left"/>
      <w:pPr>
        <w:tabs>
          <w:tab w:val="num" w:pos="-514"/>
        </w:tabs>
        <w:ind w:left="-514" w:hanging="360"/>
      </w:pPr>
      <w:rPr>
        <w:rFonts w:cs="Times New Roman"/>
      </w:rPr>
    </w:lvl>
    <w:lvl w:ilvl="1" w:tplc="040D0019">
      <w:start w:val="1"/>
      <w:numFmt w:val="lowerLetter"/>
      <w:lvlText w:val="%2."/>
      <w:lvlJc w:val="left"/>
      <w:pPr>
        <w:tabs>
          <w:tab w:val="num" w:pos="206"/>
        </w:tabs>
        <w:ind w:left="206" w:hanging="360"/>
      </w:pPr>
      <w:rPr>
        <w:rFonts w:cs="Times New Roman"/>
      </w:rPr>
    </w:lvl>
    <w:lvl w:ilvl="2" w:tplc="040D001B">
      <w:start w:val="1"/>
      <w:numFmt w:val="decimal"/>
      <w:lvlText w:val="%3."/>
      <w:lvlJc w:val="left"/>
      <w:pPr>
        <w:tabs>
          <w:tab w:val="num" w:pos="2160"/>
        </w:tabs>
        <w:ind w:left="2160" w:hanging="36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decimal"/>
      <w:lvlText w:val="%5."/>
      <w:lvlJc w:val="left"/>
      <w:pPr>
        <w:tabs>
          <w:tab w:val="num" w:pos="3600"/>
        </w:tabs>
        <w:ind w:left="3600" w:hanging="360"/>
      </w:pPr>
      <w:rPr>
        <w:rFonts w:cs="Times New Roman"/>
      </w:rPr>
    </w:lvl>
    <w:lvl w:ilvl="5" w:tplc="040D001B">
      <w:start w:val="1"/>
      <w:numFmt w:val="decimal"/>
      <w:lvlText w:val="%6."/>
      <w:lvlJc w:val="left"/>
      <w:pPr>
        <w:tabs>
          <w:tab w:val="num" w:pos="4320"/>
        </w:tabs>
        <w:ind w:left="4320" w:hanging="36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decimal"/>
      <w:lvlText w:val="%8."/>
      <w:lvlJc w:val="left"/>
      <w:pPr>
        <w:tabs>
          <w:tab w:val="num" w:pos="5760"/>
        </w:tabs>
        <w:ind w:left="5760" w:hanging="360"/>
      </w:pPr>
      <w:rPr>
        <w:rFonts w:cs="Times New Roman"/>
      </w:rPr>
    </w:lvl>
    <w:lvl w:ilvl="8" w:tplc="040D001B">
      <w:start w:val="1"/>
      <w:numFmt w:val="decimal"/>
      <w:lvlText w:val="%9."/>
      <w:lvlJc w:val="left"/>
      <w:pPr>
        <w:tabs>
          <w:tab w:val="num" w:pos="6480"/>
        </w:tabs>
        <w:ind w:left="6480" w:hanging="360"/>
      </w:pPr>
      <w:rPr>
        <w:rFonts w:cs="Times New Roman"/>
      </w:rPr>
    </w:lvl>
  </w:abstractNum>
  <w:abstractNum w:abstractNumId="3">
    <w:nsid w:val="34F55124"/>
    <w:multiLevelType w:val="hybridMultilevel"/>
    <w:tmpl w:val="103290F4"/>
    <w:lvl w:ilvl="0" w:tplc="44BAEA82">
      <w:start w:val="2"/>
      <w:numFmt w:val="decimal"/>
      <w:lvlText w:val="%1."/>
      <w:lvlJc w:val="left"/>
      <w:pPr>
        <w:tabs>
          <w:tab w:val="num" w:pos="-513"/>
        </w:tabs>
        <w:ind w:left="-513" w:hanging="360"/>
      </w:pPr>
      <w:rPr>
        <w:rFonts w:cs="Times New Roman" w:hint="default"/>
      </w:rPr>
    </w:lvl>
    <w:lvl w:ilvl="1" w:tplc="040D0019">
      <w:start w:val="1"/>
      <w:numFmt w:val="lowerLetter"/>
      <w:lvlText w:val="%2."/>
      <w:lvlJc w:val="left"/>
      <w:pPr>
        <w:tabs>
          <w:tab w:val="num" w:pos="207"/>
        </w:tabs>
        <w:ind w:left="207" w:hanging="360"/>
      </w:pPr>
      <w:rPr>
        <w:rFonts w:cs="Times New Roman"/>
      </w:rPr>
    </w:lvl>
    <w:lvl w:ilvl="2" w:tplc="040D001B" w:tentative="1">
      <w:start w:val="1"/>
      <w:numFmt w:val="lowerRoman"/>
      <w:lvlText w:val="%3."/>
      <w:lvlJc w:val="right"/>
      <w:pPr>
        <w:tabs>
          <w:tab w:val="num" w:pos="927"/>
        </w:tabs>
        <w:ind w:left="927" w:hanging="180"/>
      </w:pPr>
      <w:rPr>
        <w:rFonts w:cs="Times New Roman"/>
      </w:rPr>
    </w:lvl>
    <w:lvl w:ilvl="3" w:tplc="040D000F" w:tentative="1">
      <w:start w:val="1"/>
      <w:numFmt w:val="decimal"/>
      <w:lvlText w:val="%4."/>
      <w:lvlJc w:val="left"/>
      <w:pPr>
        <w:tabs>
          <w:tab w:val="num" w:pos="1647"/>
        </w:tabs>
        <w:ind w:left="1647" w:hanging="360"/>
      </w:pPr>
      <w:rPr>
        <w:rFonts w:cs="Times New Roman"/>
      </w:rPr>
    </w:lvl>
    <w:lvl w:ilvl="4" w:tplc="040D0019" w:tentative="1">
      <w:start w:val="1"/>
      <w:numFmt w:val="lowerLetter"/>
      <w:lvlText w:val="%5."/>
      <w:lvlJc w:val="left"/>
      <w:pPr>
        <w:tabs>
          <w:tab w:val="num" w:pos="2367"/>
        </w:tabs>
        <w:ind w:left="2367" w:hanging="360"/>
      </w:pPr>
      <w:rPr>
        <w:rFonts w:cs="Times New Roman"/>
      </w:rPr>
    </w:lvl>
    <w:lvl w:ilvl="5" w:tplc="040D001B" w:tentative="1">
      <w:start w:val="1"/>
      <w:numFmt w:val="lowerRoman"/>
      <w:lvlText w:val="%6."/>
      <w:lvlJc w:val="right"/>
      <w:pPr>
        <w:tabs>
          <w:tab w:val="num" w:pos="3087"/>
        </w:tabs>
        <w:ind w:left="3087" w:hanging="180"/>
      </w:pPr>
      <w:rPr>
        <w:rFonts w:cs="Times New Roman"/>
      </w:rPr>
    </w:lvl>
    <w:lvl w:ilvl="6" w:tplc="040D000F" w:tentative="1">
      <w:start w:val="1"/>
      <w:numFmt w:val="decimal"/>
      <w:lvlText w:val="%7."/>
      <w:lvlJc w:val="left"/>
      <w:pPr>
        <w:tabs>
          <w:tab w:val="num" w:pos="3807"/>
        </w:tabs>
        <w:ind w:left="3807" w:hanging="360"/>
      </w:pPr>
      <w:rPr>
        <w:rFonts w:cs="Times New Roman"/>
      </w:rPr>
    </w:lvl>
    <w:lvl w:ilvl="7" w:tplc="040D0019" w:tentative="1">
      <w:start w:val="1"/>
      <w:numFmt w:val="lowerLetter"/>
      <w:lvlText w:val="%8."/>
      <w:lvlJc w:val="left"/>
      <w:pPr>
        <w:tabs>
          <w:tab w:val="num" w:pos="4527"/>
        </w:tabs>
        <w:ind w:left="4527" w:hanging="360"/>
      </w:pPr>
      <w:rPr>
        <w:rFonts w:cs="Times New Roman"/>
      </w:rPr>
    </w:lvl>
    <w:lvl w:ilvl="8" w:tplc="040D001B" w:tentative="1">
      <w:start w:val="1"/>
      <w:numFmt w:val="lowerRoman"/>
      <w:lvlText w:val="%9."/>
      <w:lvlJc w:val="right"/>
      <w:pPr>
        <w:tabs>
          <w:tab w:val="num" w:pos="5247"/>
        </w:tabs>
        <w:ind w:left="5247" w:hanging="180"/>
      </w:pPr>
      <w:rPr>
        <w:rFonts w:cs="Times New Roman"/>
      </w:rPr>
    </w:lvl>
  </w:abstractNum>
  <w:abstractNum w:abstractNumId="4">
    <w:nsid w:val="42CD6BCE"/>
    <w:multiLevelType w:val="hybridMultilevel"/>
    <w:tmpl w:val="1CB822C8"/>
    <w:lvl w:ilvl="0" w:tplc="B4967948">
      <w:start w:val="10"/>
      <w:numFmt w:val="decimal"/>
      <w:lvlText w:val="%1."/>
      <w:lvlJc w:val="left"/>
      <w:pPr>
        <w:tabs>
          <w:tab w:val="num" w:pos="1080"/>
        </w:tabs>
        <w:ind w:left="1080" w:hanging="72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5">
    <w:nsid w:val="48286BD1"/>
    <w:multiLevelType w:val="multilevel"/>
    <w:tmpl w:val="227441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9BF7B5F"/>
    <w:multiLevelType w:val="hybridMultilevel"/>
    <w:tmpl w:val="ACCA5EFC"/>
    <w:lvl w:ilvl="0" w:tplc="0FEAD100">
      <w:start w:val="1"/>
      <w:numFmt w:val="decimal"/>
      <w:lvlText w:val="%1."/>
      <w:lvlJc w:val="left"/>
      <w:pPr>
        <w:tabs>
          <w:tab w:val="num" w:pos="-513"/>
        </w:tabs>
        <w:ind w:left="-513" w:hanging="360"/>
      </w:pPr>
      <w:rPr>
        <w:rFonts w:cs="Times New Roman" w:hint="default"/>
      </w:rPr>
    </w:lvl>
    <w:lvl w:ilvl="1" w:tplc="040D0019" w:tentative="1">
      <w:start w:val="1"/>
      <w:numFmt w:val="lowerLetter"/>
      <w:lvlText w:val="%2."/>
      <w:lvlJc w:val="left"/>
      <w:pPr>
        <w:tabs>
          <w:tab w:val="num" w:pos="207"/>
        </w:tabs>
        <w:ind w:left="207" w:hanging="360"/>
      </w:pPr>
      <w:rPr>
        <w:rFonts w:cs="Times New Roman"/>
      </w:rPr>
    </w:lvl>
    <w:lvl w:ilvl="2" w:tplc="040D001B" w:tentative="1">
      <w:start w:val="1"/>
      <w:numFmt w:val="lowerRoman"/>
      <w:lvlText w:val="%3."/>
      <w:lvlJc w:val="right"/>
      <w:pPr>
        <w:tabs>
          <w:tab w:val="num" w:pos="927"/>
        </w:tabs>
        <w:ind w:left="927" w:hanging="180"/>
      </w:pPr>
      <w:rPr>
        <w:rFonts w:cs="Times New Roman"/>
      </w:rPr>
    </w:lvl>
    <w:lvl w:ilvl="3" w:tplc="040D000F" w:tentative="1">
      <w:start w:val="1"/>
      <w:numFmt w:val="decimal"/>
      <w:lvlText w:val="%4."/>
      <w:lvlJc w:val="left"/>
      <w:pPr>
        <w:tabs>
          <w:tab w:val="num" w:pos="1647"/>
        </w:tabs>
        <w:ind w:left="1647" w:hanging="360"/>
      </w:pPr>
      <w:rPr>
        <w:rFonts w:cs="Times New Roman"/>
      </w:rPr>
    </w:lvl>
    <w:lvl w:ilvl="4" w:tplc="040D0019" w:tentative="1">
      <w:start w:val="1"/>
      <w:numFmt w:val="lowerLetter"/>
      <w:lvlText w:val="%5."/>
      <w:lvlJc w:val="left"/>
      <w:pPr>
        <w:tabs>
          <w:tab w:val="num" w:pos="2367"/>
        </w:tabs>
        <w:ind w:left="2367" w:hanging="360"/>
      </w:pPr>
      <w:rPr>
        <w:rFonts w:cs="Times New Roman"/>
      </w:rPr>
    </w:lvl>
    <w:lvl w:ilvl="5" w:tplc="040D001B" w:tentative="1">
      <w:start w:val="1"/>
      <w:numFmt w:val="lowerRoman"/>
      <w:lvlText w:val="%6."/>
      <w:lvlJc w:val="right"/>
      <w:pPr>
        <w:tabs>
          <w:tab w:val="num" w:pos="3087"/>
        </w:tabs>
        <w:ind w:left="3087" w:hanging="180"/>
      </w:pPr>
      <w:rPr>
        <w:rFonts w:cs="Times New Roman"/>
      </w:rPr>
    </w:lvl>
    <w:lvl w:ilvl="6" w:tplc="040D000F" w:tentative="1">
      <w:start w:val="1"/>
      <w:numFmt w:val="decimal"/>
      <w:lvlText w:val="%7."/>
      <w:lvlJc w:val="left"/>
      <w:pPr>
        <w:tabs>
          <w:tab w:val="num" w:pos="3807"/>
        </w:tabs>
        <w:ind w:left="3807" w:hanging="360"/>
      </w:pPr>
      <w:rPr>
        <w:rFonts w:cs="Times New Roman"/>
      </w:rPr>
    </w:lvl>
    <w:lvl w:ilvl="7" w:tplc="040D0019" w:tentative="1">
      <w:start w:val="1"/>
      <w:numFmt w:val="lowerLetter"/>
      <w:lvlText w:val="%8."/>
      <w:lvlJc w:val="left"/>
      <w:pPr>
        <w:tabs>
          <w:tab w:val="num" w:pos="4527"/>
        </w:tabs>
        <w:ind w:left="4527" w:hanging="360"/>
      </w:pPr>
      <w:rPr>
        <w:rFonts w:cs="Times New Roman"/>
      </w:rPr>
    </w:lvl>
    <w:lvl w:ilvl="8" w:tplc="040D001B" w:tentative="1">
      <w:start w:val="1"/>
      <w:numFmt w:val="lowerRoman"/>
      <w:lvlText w:val="%9."/>
      <w:lvlJc w:val="right"/>
      <w:pPr>
        <w:tabs>
          <w:tab w:val="num" w:pos="5247"/>
        </w:tabs>
        <w:ind w:left="5247" w:hanging="180"/>
      </w:pPr>
      <w:rPr>
        <w:rFonts w:cs="Times New Roman"/>
      </w:rPr>
    </w:lvl>
  </w:abstractNum>
  <w:abstractNum w:abstractNumId="7">
    <w:nsid w:val="5A3D1FB2"/>
    <w:multiLevelType w:val="hybridMultilevel"/>
    <w:tmpl w:val="E1088B5E"/>
    <w:lvl w:ilvl="0" w:tplc="DF961494">
      <w:start w:val="1"/>
      <w:numFmt w:val="decimal"/>
      <w:lvlText w:val="%1."/>
      <w:lvlJc w:val="left"/>
      <w:pPr>
        <w:tabs>
          <w:tab w:val="num" w:pos="-694"/>
        </w:tabs>
        <w:ind w:left="-694" w:hanging="360"/>
      </w:pPr>
      <w:rPr>
        <w:rFonts w:cs="Times New Roman" w:hint="cs"/>
      </w:rPr>
    </w:lvl>
    <w:lvl w:ilvl="1" w:tplc="040D0019" w:tentative="1">
      <w:start w:val="1"/>
      <w:numFmt w:val="lowerLetter"/>
      <w:lvlText w:val="%2."/>
      <w:lvlJc w:val="left"/>
      <w:pPr>
        <w:tabs>
          <w:tab w:val="num" w:pos="26"/>
        </w:tabs>
        <w:ind w:left="26" w:hanging="360"/>
      </w:pPr>
      <w:rPr>
        <w:rFonts w:cs="Times New Roman"/>
      </w:rPr>
    </w:lvl>
    <w:lvl w:ilvl="2" w:tplc="040D001B" w:tentative="1">
      <w:start w:val="1"/>
      <w:numFmt w:val="lowerRoman"/>
      <w:lvlText w:val="%3."/>
      <w:lvlJc w:val="right"/>
      <w:pPr>
        <w:tabs>
          <w:tab w:val="num" w:pos="746"/>
        </w:tabs>
        <w:ind w:left="746" w:hanging="180"/>
      </w:pPr>
      <w:rPr>
        <w:rFonts w:cs="Times New Roman"/>
      </w:rPr>
    </w:lvl>
    <w:lvl w:ilvl="3" w:tplc="040D000F" w:tentative="1">
      <w:start w:val="1"/>
      <w:numFmt w:val="decimal"/>
      <w:lvlText w:val="%4."/>
      <w:lvlJc w:val="left"/>
      <w:pPr>
        <w:tabs>
          <w:tab w:val="num" w:pos="1466"/>
        </w:tabs>
        <w:ind w:left="1466" w:hanging="360"/>
      </w:pPr>
      <w:rPr>
        <w:rFonts w:cs="Times New Roman"/>
      </w:rPr>
    </w:lvl>
    <w:lvl w:ilvl="4" w:tplc="040D0019" w:tentative="1">
      <w:start w:val="1"/>
      <w:numFmt w:val="lowerLetter"/>
      <w:lvlText w:val="%5."/>
      <w:lvlJc w:val="left"/>
      <w:pPr>
        <w:tabs>
          <w:tab w:val="num" w:pos="2186"/>
        </w:tabs>
        <w:ind w:left="2186" w:hanging="360"/>
      </w:pPr>
      <w:rPr>
        <w:rFonts w:cs="Times New Roman"/>
      </w:rPr>
    </w:lvl>
    <w:lvl w:ilvl="5" w:tplc="040D001B" w:tentative="1">
      <w:start w:val="1"/>
      <w:numFmt w:val="lowerRoman"/>
      <w:lvlText w:val="%6."/>
      <w:lvlJc w:val="right"/>
      <w:pPr>
        <w:tabs>
          <w:tab w:val="num" w:pos="2906"/>
        </w:tabs>
        <w:ind w:left="2906" w:hanging="180"/>
      </w:pPr>
      <w:rPr>
        <w:rFonts w:cs="Times New Roman"/>
      </w:rPr>
    </w:lvl>
    <w:lvl w:ilvl="6" w:tplc="040D000F" w:tentative="1">
      <w:start w:val="1"/>
      <w:numFmt w:val="decimal"/>
      <w:lvlText w:val="%7."/>
      <w:lvlJc w:val="left"/>
      <w:pPr>
        <w:tabs>
          <w:tab w:val="num" w:pos="3626"/>
        </w:tabs>
        <w:ind w:left="3626" w:hanging="360"/>
      </w:pPr>
      <w:rPr>
        <w:rFonts w:cs="Times New Roman"/>
      </w:rPr>
    </w:lvl>
    <w:lvl w:ilvl="7" w:tplc="040D0019" w:tentative="1">
      <w:start w:val="1"/>
      <w:numFmt w:val="lowerLetter"/>
      <w:lvlText w:val="%8."/>
      <w:lvlJc w:val="left"/>
      <w:pPr>
        <w:tabs>
          <w:tab w:val="num" w:pos="4346"/>
        </w:tabs>
        <w:ind w:left="4346" w:hanging="360"/>
      </w:pPr>
      <w:rPr>
        <w:rFonts w:cs="Times New Roman"/>
      </w:rPr>
    </w:lvl>
    <w:lvl w:ilvl="8" w:tplc="040D001B" w:tentative="1">
      <w:start w:val="1"/>
      <w:numFmt w:val="lowerRoman"/>
      <w:lvlText w:val="%9."/>
      <w:lvlJc w:val="right"/>
      <w:pPr>
        <w:tabs>
          <w:tab w:val="num" w:pos="5066"/>
        </w:tabs>
        <w:ind w:left="5066" w:hanging="180"/>
      </w:pPr>
      <w:rPr>
        <w:rFonts w:cs="Times New Roman"/>
      </w:rPr>
    </w:lvl>
  </w:abstractNum>
  <w:abstractNum w:abstractNumId="8">
    <w:nsid w:val="7EB65807"/>
    <w:multiLevelType w:val="hybridMultilevel"/>
    <w:tmpl w:val="A49C610C"/>
    <w:lvl w:ilvl="0" w:tplc="040D000F">
      <w:start w:val="1"/>
      <w:numFmt w:val="decimal"/>
      <w:lvlText w:val="%1."/>
      <w:lvlJc w:val="left"/>
      <w:pPr>
        <w:tabs>
          <w:tab w:val="num" w:pos="-153"/>
        </w:tabs>
        <w:ind w:left="-153" w:hanging="360"/>
      </w:pPr>
      <w:rPr>
        <w:rFonts w:cs="Times New Roman"/>
      </w:rPr>
    </w:lvl>
    <w:lvl w:ilvl="1" w:tplc="040D0019" w:tentative="1">
      <w:start w:val="1"/>
      <w:numFmt w:val="lowerLetter"/>
      <w:lvlText w:val="%2."/>
      <w:lvlJc w:val="left"/>
      <w:pPr>
        <w:tabs>
          <w:tab w:val="num" w:pos="567"/>
        </w:tabs>
        <w:ind w:left="567" w:hanging="360"/>
      </w:pPr>
      <w:rPr>
        <w:rFonts w:cs="Times New Roman"/>
      </w:rPr>
    </w:lvl>
    <w:lvl w:ilvl="2" w:tplc="040D001B" w:tentative="1">
      <w:start w:val="1"/>
      <w:numFmt w:val="lowerRoman"/>
      <w:lvlText w:val="%3."/>
      <w:lvlJc w:val="right"/>
      <w:pPr>
        <w:tabs>
          <w:tab w:val="num" w:pos="1287"/>
        </w:tabs>
        <w:ind w:left="1287" w:hanging="180"/>
      </w:pPr>
      <w:rPr>
        <w:rFonts w:cs="Times New Roman"/>
      </w:rPr>
    </w:lvl>
    <w:lvl w:ilvl="3" w:tplc="040D000F" w:tentative="1">
      <w:start w:val="1"/>
      <w:numFmt w:val="decimal"/>
      <w:lvlText w:val="%4."/>
      <w:lvlJc w:val="left"/>
      <w:pPr>
        <w:tabs>
          <w:tab w:val="num" w:pos="2007"/>
        </w:tabs>
        <w:ind w:left="2007" w:hanging="360"/>
      </w:pPr>
      <w:rPr>
        <w:rFonts w:cs="Times New Roman"/>
      </w:rPr>
    </w:lvl>
    <w:lvl w:ilvl="4" w:tplc="040D0019" w:tentative="1">
      <w:start w:val="1"/>
      <w:numFmt w:val="lowerLetter"/>
      <w:lvlText w:val="%5."/>
      <w:lvlJc w:val="left"/>
      <w:pPr>
        <w:tabs>
          <w:tab w:val="num" w:pos="2727"/>
        </w:tabs>
        <w:ind w:left="2727" w:hanging="360"/>
      </w:pPr>
      <w:rPr>
        <w:rFonts w:cs="Times New Roman"/>
      </w:rPr>
    </w:lvl>
    <w:lvl w:ilvl="5" w:tplc="040D001B" w:tentative="1">
      <w:start w:val="1"/>
      <w:numFmt w:val="lowerRoman"/>
      <w:lvlText w:val="%6."/>
      <w:lvlJc w:val="right"/>
      <w:pPr>
        <w:tabs>
          <w:tab w:val="num" w:pos="3447"/>
        </w:tabs>
        <w:ind w:left="3447" w:hanging="180"/>
      </w:pPr>
      <w:rPr>
        <w:rFonts w:cs="Times New Roman"/>
      </w:rPr>
    </w:lvl>
    <w:lvl w:ilvl="6" w:tplc="040D000F" w:tentative="1">
      <w:start w:val="1"/>
      <w:numFmt w:val="decimal"/>
      <w:lvlText w:val="%7."/>
      <w:lvlJc w:val="left"/>
      <w:pPr>
        <w:tabs>
          <w:tab w:val="num" w:pos="4167"/>
        </w:tabs>
        <w:ind w:left="4167" w:hanging="360"/>
      </w:pPr>
      <w:rPr>
        <w:rFonts w:cs="Times New Roman"/>
      </w:rPr>
    </w:lvl>
    <w:lvl w:ilvl="7" w:tplc="040D0019" w:tentative="1">
      <w:start w:val="1"/>
      <w:numFmt w:val="lowerLetter"/>
      <w:lvlText w:val="%8."/>
      <w:lvlJc w:val="left"/>
      <w:pPr>
        <w:tabs>
          <w:tab w:val="num" w:pos="4887"/>
        </w:tabs>
        <w:ind w:left="4887" w:hanging="360"/>
      </w:pPr>
      <w:rPr>
        <w:rFonts w:cs="Times New Roman"/>
      </w:rPr>
    </w:lvl>
    <w:lvl w:ilvl="8" w:tplc="040D001B" w:tentative="1">
      <w:start w:val="1"/>
      <w:numFmt w:val="lowerRoman"/>
      <w:lvlText w:val="%9."/>
      <w:lvlJc w:val="right"/>
      <w:pPr>
        <w:tabs>
          <w:tab w:val="num" w:pos="5607"/>
        </w:tabs>
        <w:ind w:left="5607" w:hanging="180"/>
      </w:pPr>
      <w:rPr>
        <w:rFonts w:cs="Times New Roman"/>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num>
  <w:num w:numId="9">
    <w:abstractNumId w:val="0"/>
  </w:num>
  <w:num w:numId="10">
    <w:abstractNumId w:val="6"/>
  </w:num>
  <w:num w:numId="11">
    <w:abstractNumId w:val="3"/>
  </w:num>
  <w:num w:numId="12">
    <w:abstractNumId w:val="4"/>
  </w:num>
  <w:num w:numId="13">
    <w:abstractNumId w:val="0"/>
  </w:num>
  <w:num w:numId="14">
    <w:abstractNumId w:val="8"/>
  </w:num>
  <w:num w:numId="15">
    <w:abstractNumId w:val="1"/>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0C7"/>
    <w:rsid w:val="0012407A"/>
    <w:rsid w:val="00136057"/>
    <w:rsid w:val="001370C7"/>
    <w:rsid w:val="002328E2"/>
    <w:rsid w:val="002F20CE"/>
    <w:rsid w:val="0033425A"/>
    <w:rsid w:val="003534ED"/>
    <w:rsid w:val="00394C09"/>
    <w:rsid w:val="004A2233"/>
    <w:rsid w:val="004A71B3"/>
    <w:rsid w:val="00530393"/>
    <w:rsid w:val="005320E0"/>
    <w:rsid w:val="0059194E"/>
    <w:rsid w:val="00600D1D"/>
    <w:rsid w:val="007C08CE"/>
    <w:rsid w:val="007E02B3"/>
    <w:rsid w:val="00880CE3"/>
    <w:rsid w:val="008F5D6B"/>
    <w:rsid w:val="009630C3"/>
    <w:rsid w:val="009E74ED"/>
    <w:rsid w:val="00A47C89"/>
    <w:rsid w:val="00A9779A"/>
    <w:rsid w:val="00B17F6E"/>
    <w:rsid w:val="00B8454D"/>
    <w:rsid w:val="00BB7B4F"/>
    <w:rsid w:val="00BC7DA2"/>
    <w:rsid w:val="00C1704E"/>
    <w:rsid w:val="00C7505B"/>
    <w:rsid w:val="00CC62AC"/>
    <w:rsid w:val="00CE5D88"/>
    <w:rsid w:val="00CF6D89"/>
    <w:rsid w:val="00D96B09"/>
    <w:rsid w:val="00DD31D5"/>
    <w:rsid w:val="00E34D1A"/>
    <w:rsid w:val="00E53202"/>
    <w:rsid w:val="00E57C56"/>
    <w:rsid w:val="00EA4CCB"/>
    <w:rsid w:val="00F00522"/>
    <w:rsid w:val="00F27CB5"/>
    <w:rsid w:val="00F829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A2"/>
    <w:pPr>
      <w:bidi/>
    </w:pPr>
    <w:rPr>
      <w:sz w:val="24"/>
      <w:szCs w:val="24"/>
      <w:lang w:eastAsia="he-IL"/>
    </w:rPr>
  </w:style>
  <w:style w:type="paragraph" w:styleId="Heading3">
    <w:name w:val="heading 3"/>
    <w:basedOn w:val="Normal"/>
    <w:next w:val="Normal"/>
    <w:link w:val="Heading3Char"/>
    <w:uiPriority w:val="99"/>
    <w:qFormat/>
    <w:rsid w:val="00BC7DA2"/>
    <w:pPr>
      <w:keepNext/>
      <w:numPr>
        <w:numId w:val="2"/>
      </w:numPr>
      <w:spacing w:line="340" w:lineRule="exact"/>
      <w:ind w:right="-513"/>
      <w:outlineLvl w:val="2"/>
    </w:pPr>
    <w:rPr>
      <w:rFonts w:cs="David"/>
      <w:b/>
      <w:bCs/>
    </w:rPr>
  </w:style>
  <w:style w:type="paragraph" w:styleId="Heading4">
    <w:name w:val="heading 4"/>
    <w:basedOn w:val="Normal"/>
    <w:next w:val="Normal"/>
    <w:link w:val="Heading4Char"/>
    <w:uiPriority w:val="99"/>
    <w:qFormat/>
    <w:rsid w:val="00BC7DA2"/>
    <w:pPr>
      <w:keepNext/>
      <w:spacing w:line="340" w:lineRule="exact"/>
      <w:ind w:left="-873" w:right="-1622"/>
      <w:jc w:val="center"/>
      <w:outlineLvl w:val="3"/>
    </w:pPr>
    <w:rPr>
      <w:rFonts w:cs="David"/>
      <w:b/>
      <w:bCs/>
      <w:sz w:val="32"/>
      <w:szCs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935CA"/>
    <w:rPr>
      <w:rFonts w:asciiTheme="majorHAnsi" w:eastAsiaTheme="majorEastAsia" w:hAnsiTheme="majorHAnsi" w:cstheme="majorBidi"/>
      <w:b/>
      <w:bCs/>
      <w:sz w:val="26"/>
      <w:szCs w:val="26"/>
      <w:lang w:eastAsia="he-IL"/>
    </w:rPr>
  </w:style>
  <w:style w:type="character" w:customStyle="1" w:styleId="Heading4Char">
    <w:name w:val="Heading 4 Char"/>
    <w:basedOn w:val="DefaultParagraphFont"/>
    <w:link w:val="Heading4"/>
    <w:uiPriority w:val="9"/>
    <w:semiHidden/>
    <w:rsid w:val="009935CA"/>
    <w:rPr>
      <w:rFonts w:asciiTheme="minorHAnsi" w:eastAsiaTheme="minorEastAsia" w:hAnsiTheme="minorHAnsi" w:cstheme="minorBidi"/>
      <w:b/>
      <w:bCs/>
      <w:sz w:val="28"/>
      <w:szCs w:val="28"/>
      <w:lang w:eastAsia="he-IL"/>
    </w:rPr>
  </w:style>
  <w:style w:type="character" w:styleId="Hyperlink">
    <w:name w:val="Hyperlink"/>
    <w:basedOn w:val="DefaultParagraphFont"/>
    <w:uiPriority w:val="99"/>
    <w:semiHidden/>
    <w:rsid w:val="00BC7DA2"/>
    <w:rPr>
      <w:rFonts w:cs="Times New Roman"/>
      <w:color w:val="0000FF"/>
      <w:u w:val="single"/>
    </w:rPr>
  </w:style>
  <w:style w:type="paragraph" w:styleId="ListParagraph">
    <w:name w:val="List Paragraph"/>
    <w:basedOn w:val="Normal"/>
    <w:uiPriority w:val="99"/>
    <w:qFormat/>
    <w:rsid w:val="00CE5D88"/>
    <w:pPr>
      <w:ind w:left="720"/>
      <w:contextualSpacing/>
    </w:pPr>
  </w:style>
  <w:style w:type="character" w:styleId="FollowedHyperlink">
    <w:name w:val="FollowedHyperlink"/>
    <w:basedOn w:val="DefaultParagraphFont"/>
    <w:uiPriority w:val="99"/>
    <w:rsid w:val="0059194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esenthal.com" TargetMode="External"/><Relationship Id="rId3" Type="http://schemas.openxmlformats.org/officeDocument/2006/relationships/settings" Target="settings.xml"/><Relationship Id="rId7" Type="http://schemas.openxmlformats.org/officeDocument/2006/relationships/hyperlink" Target="http://www.operationlastch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esenthal.com/" TargetMode="External"/><Relationship Id="rId5" Type="http://schemas.openxmlformats.org/officeDocument/2006/relationships/hyperlink" Target="http://www.operationlastchan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SWC-Heb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SWC-Heb2011</Template>
  <TotalTime>150</TotalTime>
  <Pages>7</Pages>
  <Words>2155</Words>
  <Characters>10778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מספר</dc:title>
  <dc:subject/>
  <dc:creator>User</dc:creator>
  <cp:keywords/>
  <dc:description/>
  <cp:lastModifiedBy>User</cp:lastModifiedBy>
  <cp:revision>31</cp:revision>
  <cp:lastPrinted>2013-04-07T09:52:00Z</cp:lastPrinted>
  <dcterms:created xsi:type="dcterms:W3CDTF">2013-04-07T08:05:00Z</dcterms:created>
  <dcterms:modified xsi:type="dcterms:W3CDTF">2013-04-07T11:26:00Z</dcterms:modified>
</cp:coreProperties>
</file>